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40" w:type="dxa"/>
            <w:vAlign w:val="bottom"/>
            <w:vMerge w:val="restart"/>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OMB APPROVAL</w:t>
            </w:r>
          </w:p>
        </w:tc>
        <w:tc>
          <w:tcPr>
            <w:tcW w:w="0" w:type="dxa"/>
            <w:vAlign w:val="bottom"/>
          </w:tcPr>
          <w:p>
            <w:pPr>
              <w:spacing w:after="0"/>
              <w:rPr>
                <w:sz w:val="1"/>
                <w:szCs w:val="1"/>
                <w:color w:val="auto"/>
              </w:rPr>
            </w:pPr>
          </w:p>
        </w:tc>
      </w:tr>
      <w:tr>
        <w:trPr>
          <w:trHeight w:val="174"/>
        </w:trPr>
        <w:tc>
          <w:tcPr>
            <w:tcW w:w="2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240" w:type="dxa"/>
            <w:vAlign w:val="bottom"/>
            <w:vMerge w:val="continue"/>
          </w:tcPr>
          <w:p>
            <w:pPr>
              <w:spacing w:after="0"/>
              <w:rPr>
                <w:sz w:val="15"/>
                <w:szCs w:val="15"/>
                <w:color w:val="auto"/>
              </w:rPr>
            </w:pPr>
          </w:p>
        </w:tc>
        <w:tc>
          <w:tcPr>
            <w:tcW w:w="336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99"/>
              </w:rPr>
              <w:t>OMB Number: 3235-0058</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55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Expires: May 31, 2025</w:t>
            </w: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4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Estimated average burden</w:t>
            </w: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40" w:type="dxa"/>
            <w:vAlign w:val="bottom"/>
            <w:vMerge w:val="restart"/>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rPr>
              <w:t>FORM 12b-25</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hours per response ....……..2.50</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40" w:type="dxa"/>
            <w:vAlign w:val="bottom"/>
            <w:vMerge w:val="continue"/>
          </w:tcPr>
          <w:p>
            <w:pPr>
              <w:spacing w:after="0"/>
              <w:rPr>
                <w:sz w:val="17"/>
                <w:szCs w:val="17"/>
                <w:color w:val="auto"/>
              </w:rPr>
            </w:pPr>
          </w:p>
        </w:tc>
        <w:tc>
          <w:tcPr>
            <w:tcW w:w="3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SEC FILE NUMBER</w:t>
            </w:r>
          </w:p>
        </w:tc>
        <w:tc>
          <w:tcPr>
            <w:tcW w:w="0" w:type="dxa"/>
            <w:vAlign w:val="bottom"/>
          </w:tcPr>
          <w:p>
            <w:pPr>
              <w:spacing w:after="0"/>
              <w:rPr>
                <w:sz w:val="1"/>
                <w:szCs w:val="1"/>
                <w:color w:val="auto"/>
              </w:rPr>
            </w:pPr>
          </w:p>
        </w:tc>
      </w:tr>
      <w:tr>
        <w:trPr>
          <w:trHeight w:val="211"/>
        </w:trPr>
        <w:tc>
          <w:tcPr>
            <w:tcW w:w="2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40" w:type="dxa"/>
            <w:vAlign w:val="bottom"/>
            <w:vMerge w:val="restart"/>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8"/>
              </w:rPr>
              <w:t>NOTIFICATION OF LATE FILING</w:t>
            </w:r>
          </w:p>
        </w:tc>
        <w:tc>
          <w:tcPr>
            <w:tcW w:w="3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40" w:type="dxa"/>
            <w:vAlign w:val="bottom"/>
            <w:vMerge w:val="continue"/>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001-42760</w:t>
            </w:r>
          </w:p>
        </w:tc>
        <w:tc>
          <w:tcPr>
            <w:tcW w:w="0" w:type="dxa"/>
            <w:vAlign w:val="bottom"/>
          </w:tcPr>
          <w:p>
            <w:pPr>
              <w:spacing w:after="0"/>
              <w:rPr>
                <w:sz w:val="1"/>
                <w:szCs w:val="1"/>
                <w:color w:val="auto"/>
              </w:rPr>
            </w:pPr>
          </w:p>
        </w:tc>
      </w:tr>
      <w:tr>
        <w:trPr>
          <w:trHeight w:val="191"/>
        </w:trPr>
        <w:tc>
          <w:tcPr>
            <w:tcW w:w="2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33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CUSIP NUMBER</w:t>
            </w: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985915107</w:t>
            </w:r>
          </w:p>
        </w:tc>
        <w:tc>
          <w:tcPr>
            <w:tcW w:w="0" w:type="dxa"/>
            <w:vAlign w:val="bottom"/>
          </w:tcPr>
          <w:p>
            <w:pPr>
              <w:spacing w:after="0"/>
              <w:rPr>
                <w:sz w:val="1"/>
                <w:szCs w:val="1"/>
                <w:color w:val="auto"/>
              </w:rPr>
            </w:pPr>
          </w:p>
        </w:tc>
      </w:tr>
      <w:tr>
        <w:trPr>
          <w:trHeight w:val="372"/>
        </w:trPr>
        <w:tc>
          <w:tcPr>
            <w:tcW w:w="2320" w:type="dxa"/>
            <w:vAlign w:val="bottom"/>
          </w:tcPr>
          <w:p>
            <w:pPr>
              <w:jc w:val="right"/>
              <w:ind w:right="70"/>
              <w:spacing w:after="0" w:line="207" w:lineRule="exact"/>
              <w:rPr>
                <w:sz w:val="20"/>
                <w:szCs w:val="20"/>
                <w:color w:val="auto"/>
              </w:rPr>
            </w:pPr>
            <w:r>
              <w:rPr>
                <w:rFonts w:ascii="Times New Roman" w:cs="Times New Roman" w:eastAsia="Times New Roman" w:hAnsi="Times New Roman"/>
                <w:sz w:val="18"/>
                <w:szCs w:val="18"/>
                <w:i w:val="1"/>
                <w:iCs w:val="1"/>
                <w:color w:val="auto"/>
              </w:rPr>
              <w:t xml:space="preserve">(Check one):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w:t>
            </w:r>
          </w:p>
        </w:tc>
        <w:tc>
          <w:tcPr>
            <w:tcW w:w="132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w:t>
            </w:r>
          </w:p>
        </w:tc>
        <w:tc>
          <w:tcPr>
            <w:tcW w:w="424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11-K</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320" w:type="dxa"/>
            <w:vAlign w:val="bottom"/>
          </w:tcPr>
          <w:p>
            <w:pPr>
              <w:jc w:val="right"/>
              <w:ind w:right="7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10-Q</w:t>
            </w:r>
          </w:p>
        </w:tc>
        <w:tc>
          <w:tcPr>
            <w:tcW w:w="132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10-D</w:t>
            </w:r>
          </w:p>
        </w:tc>
        <w:tc>
          <w:tcPr>
            <w:tcW w:w="424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N-CEN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For Period Ended: </w:t>
      </w:r>
      <w:r>
        <w:rPr>
          <w:rFonts w:ascii="Times New Roman" w:cs="Times New Roman" w:eastAsia="Times New Roman" w:hAnsi="Times New Roman"/>
          <w:sz w:val="18"/>
          <w:szCs w:val="18"/>
          <w:b w:val="1"/>
          <w:bCs w:val="1"/>
          <w:u w:val="single" w:color="auto"/>
          <w:color w:val="auto"/>
        </w:rPr>
        <w:t>December 31, 2025</w:t>
      </w:r>
    </w:p>
    <w:p>
      <w:pPr>
        <w:spacing w:after="0" w:line="229" w:lineRule="exact"/>
        <w:rPr>
          <w:sz w:val="24"/>
          <w:szCs w:val="24"/>
          <w:color w:val="auto"/>
        </w:rPr>
      </w:pPr>
    </w:p>
    <w:p>
      <w:pPr>
        <w:ind w:left="1520" w:hanging="216"/>
        <w:spacing w:after="0"/>
        <w:tabs>
          <w:tab w:leader="none" w:pos="1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9" w:lineRule="exact"/>
        <w:rPr>
          <w:rFonts w:ascii="MS PGothic" w:cs="MS PGothic" w:eastAsia="MS PGothic" w:hAnsi="MS PGothic"/>
          <w:sz w:val="18"/>
          <w:szCs w:val="18"/>
          <w:color w:val="auto"/>
        </w:rPr>
      </w:pPr>
    </w:p>
    <w:p>
      <w:pPr>
        <w:ind w:left="1520" w:hanging="216"/>
        <w:spacing w:after="0"/>
        <w:tabs>
          <w:tab w:leader="none" w:pos="1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520" w:hanging="216"/>
        <w:spacing w:after="0"/>
        <w:tabs>
          <w:tab w:leader="none" w:pos="1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520" w:hanging="216"/>
        <w:spacing w:after="0"/>
        <w:tabs>
          <w:tab w:leader="none" w:pos="1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205"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the Transition Period Ended: 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Read Instruction (on back page) Before Preparing Form. Please Print or Type.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Yimutian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25" w:lineRule="exact"/>
        <w:rPr>
          <w:sz w:val="24"/>
          <w:szCs w:val="24"/>
          <w:color w:val="auto"/>
        </w:rPr>
      </w:pPr>
    </w:p>
    <w:p>
      <w:pPr>
        <w:ind w:right="2660"/>
        <w:spacing w:after="0" w:line="344" w:lineRule="auto"/>
        <w:rPr>
          <w:sz w:val="20"/>
          <w:szCs w:val="20"/>
          <w:color w:val="auto"/>
        </w:rPr>
      </w:pPr>
      <w:r>
        <w:rPr>
          <w:rFonts w:ascii="Times New Roman" w:cs="Times New Roman" w:eastAsia="Times New Roman" w:hAnsi="Times New Roman"/>
          <w:sz w:val="18"/>
          <w:szCs w:val="18"/>
          <w:color w:val="auto"/>
        </w:rPr>
        <w:t>6/F, Building B-6, Block A, Zhongguancun Dongsheng Technology Campus, No. 66 Xixiaokou Road, Haidian District Address of Principal Executive Office (Street and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Beijing, People’s Republic of China, 100192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1060" w:hanging="341"/>
        <w:spacing w:after="0"/>
        <w:tabs>
          <w:tab w:leader="none" w:pos="10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225" w:lineRule="exact"/>
        <w:rPr>
          <w:rFonts w:ascii="Times New Roman" w:cs="Times New Roman" w:eastAsia="Times New Roman" w:hAnsi="Times New Roman"/>
          <w:sz w:val="18"/>
          <w:szCs w:val="18"/>
          <w:color w:val="auto"/>
        </w:rPr>
      </w:pPr>
    </w:p>
    <w:p>
      <w:pPr>
        <w:ind w:left="1060" w:hanging="341"/>
        <w:spacing w:after="0"/>
        <w:tabs>
          <w:tab w:leader="none" w:pos="10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p>
      <w:pPr>
        <w:spacing w:after="0" w:line="27" w:lineRule="exact"/>
        <w:rPr>
          <w:rFonts w:ascii="Times New Roman" w:cs="Times New Roman" w:eastAsia="Times New Roman" w:hAnsi="Times New Roman"/>
          <w:sz w:val="18"/>
          <w:szCs w:val="18"/>
          <w:color w:val="auto"/>
        </w:rPr>
      </w:pPr>
    </w:p>
    <w:p>
      <w:pPr>
        <w:ind w:left="1060" w:right="260" w:hanging="1052"/>
        <w:spacing w:after="0" w:line="200" w:lineRule="auto"/>
        <w:tabs>
          <w:tab w:leader="none" w:pos="106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00" w:lineRule="exact"/>
        <w:rPr>
          <w:rFonts w:ascii="MS PGothic" w:cs="MS PGothic" w:eastAsia="MS PGothic" w:hAnsi="MS PGothic"/>
          <w:sz w:val="36"/>
          <w:szCs w:val="36"/>
          <w:color w:val="auto"/>
          <w:vertAlign w:val="subscript"/>
        </w:rPr>
      </w:pPr>
    </w:p>
    <w:p>
      <w:pPr>
        <w:ind w:left="1100" w:hanging="381"/>
        <w:spacing w:after="0"/>
        <w:tabs>
          <w:tab w:leader="none" w:pos="11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-1079500</wp:posOffset>
            </wp:positionV>
            <wp:extent cx="17145" cy="10972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 cy="109728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ind w:left="660" w:right="60"/>
        <w:spacing w:after="0" w:line="266" w:lineRule="auto"/>
        <w:rPr>
          <w:sz w:val="20"/>
          <w:szCs w:val="20"/>
          <w:color w:val="auto"/>
        </w:rPr>
      </w:pPr>
      <w:r>
        <w:rPr>
          <w:rFonts w:ascii="Times New Roman" w:cs="Times New Roman" w:eastAsia="Times New Roman" w:hAnsi="Times New Roman"/>
          <w:sz w:val="18"/>
          <w:szCs w:val="18"/>
          <w:color w:val="auto"/>
        </w:rPr>
        <w:t>Yimutian Inc. (the “Company”) is unable, without unreasonable effort or expense, to file its Annual Report on Form 20-F for the fiscal year ended December 31, 2025 (the “Form 20-F”) within the prescribed period because U.S. GAAP audited financial statements of the Company are not yet available. The Company expects to file its Form 20-F once the financial statements for inclusion therein become available.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 extra Sheets if Needed)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Jinhong Deng</w:t>
            </w:r>
          </w:p>
        </w:tc>
        <w:tc>
          <w:tcPr>
            <w:tcW w:w="360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+86-10</w:t>
            </w:r>
          </w:p>
        </w:tc>
        <w:tc>
          <w:tcPr>
            <w:tcW w:w="200" w:type="dxa"/>
            <w:vAlign w:val="bottom"/>
          </w:tcPr>
          <w:p>
            <w:pPr>
              <w:spacing w:after="0"/>
              <w:rPr>
                <w:sz w:val="22"/>
                <w:szCs w:val="22"/>
                <w:color w:val="auto"/>
              </w:rPr>
            </w:pPr>
          </w:p>
        </w:tc>
        <w:tc>
          <w:tcPr>
            <w:tcW w:w="36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5708-6561</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(Area Code)</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79" w:lineRule="exact"/>
        <w:rPr>
          <w:sz w:val="20"/>
          <w:szCs w:val="20"/>
          <w:color w:val="auto"/>
        </w:rPr>
      </w:pPr>
    </w:p>
    <w:p>
      <w:pPr>
        <w:ind w:left="660" w:right="160" w:hanging="652"/>
        <w:spacing w:after="0" w:line="232" w:lineRule="exact"/>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20" w:lineRule="exact"/>
        <w:rPr>
          <w:rFonts w:ascii="Times New Roman" w:cs="Times New Roman" w:eastAsia="Times New Roman" w:hAnsi="Times New Roman"/>
          <w:sz w:val="18"/>
          <w:szCs w:val="18"/>
          <w:color w:val="auto"/>
        </w:rPr>
      </w:pPr>
    </w:p>
    <w:p>
      <w:pPr>
        <w:ind w:left="10500" w:hanging="200"/>
        <w:spacing w:after="0" w:line="196" w:lineRule="exact"/>
        <w:tabs>
          <w:tab w:leader="none" w:pos="10500" w:val="left"/>
        </w:tabs>
        <w:numPr>
          <w:ilvl w:val="1"/>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77" w:lineRule="exact"/>
        <w:rPr>
          <w:sz w:val="20"/>
          <w:szCs w:val="20"/>
          <w:color w:val="auto"/>
        </w:rPr>
      </w:pPr>
    </w:p>
    <w:p>
      <w:pPr>
        <w:ind w:left="580" w:right="32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60" w:right="20"/>
        <w:spacing w:after="0" w:line="254" w:lineRule="auto"/>
        <w:rPr>
          <w:sz w:val="20"/>
          <w:szCs w:val="20"/>
          <w:color w:val="auto"/>
        </w:rPr>
      </w:pPr>
      <w:r>
        <w:rPr>
          <w:rFonts w:ascii="Times New Roman" w:cs="Times New Roman" w:eastAsia="Times New Roman" w:hAnsi="Times New Roman"/>
          <w:sz w:val="18"/>
          <w:szCs w:val="18"/>
          <w:color w:val="auto"/>
        </w:rPr>
        <w:t>This notification includes forward-looking statements within the meaning of Section 27A of the Securities Act of 1933 and Section 21E of the Securities Exchange Act of 1934. The word “expects,” “anticipates” and similar terms and phrases are used in this notification to identify forward-looking statements. Risks, uncertainties and assumptions that could affect the Company’s forward-looking statements include, among other things, any changes to our anticipated financial results as a result of our independent registered public accounting firm completing its audit of the Company’s financial statements, the ability of us and our auditors to confirm information or data identified in the review, our ability to complete and file future periodic filings with the SEC on a timely basis and other risks and uncertainties discussed more fully in the Company’s filings with the SEC. Unless required by law, the Company expressly disclaims any obligation to update publicly any forward-looking statements, whether as a result of new information, future events or otherwise.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u w:val="single" w:color="auto"/>
          <w:color w:val="auto"/>
        </w:rPr>
        <w:t>Yimutian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17145</wp:posOffset>
            </wp:positionV>
            <wp:extent cx="17830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tc>
        <w:tc>
          <w:tcPr>
            <w:tcW w:w="3920" w:type="dxa"/>
            <w:vAlign w:val="bottom"/>
          </w:tcPr>
          <w:p>
            <w:pPr>
              <w:spacing w:after="0"/>
              <w:rPr>
                <w:sz w:val="20"/>
                <w:szCs w:val="20"/>
                <w:color w:val="auto"/>
              </w:rPr>
            </w:pPr>
          </w:p>
        </w:tc>
      </w:tr>
      <w:tr>
        <w:trPr>
          <w:trHeight w:val="43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37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Jinhong Deng</w:t>
            </w:r>
          </w:p>
        </w:tc>
      </w:tr>
      <w:tr>
        <w:trPr>
          <w:trHeight w:val="198"/>
        </w:trPr>
        <w:tc>
          <w:tcPr>
            <w:tcW w:w="3540" w:type="dxa"/>
            <w:vAlign w:val="bottom"/>
          </w:tcPr>
          <w:p>
            <w:pPr>
              <w:spacing w:after="0"/>
              <w:rPr>
                <w:sz w:val="17"/>
                <w:szCs w:val="17"/>
                <w:color w:val="auto"/>
              </w:rPr>
            </w:pPr>
          </w:p>
        </w:tc>
        <w:tc>
          <w:tcPr>
            <w:tcW w:w="3780" w:type="dxa"/>
            <w:vAlign w:val="bottom"/>
          </w:tcPr>
          <w:p>
            <w:pPr>
              <w:ind w:left="32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Jinhong Deng</w:t>
            </w:r>
          </w:p>
        </w:tc>
      </w:tr>
      <w:tr>
        <w:trPr>
          <w:trHeight w:val="234"/>
        </w:trPr>
        <w:tc>
          <w:tcPr>
            <w:tcW w:w="3540" w:type="dxa"/>
            <w:vAlign w:val="bottom"/>
          </w:tcPr>
          <w:p>
            <w:pPr>
              <w:spacing w:after="0"/>
              <w:rPr>
                <w:sz w:val="20"/>
                <w:szCs w:val="20"/>
                <w:color w:val="auto"/>
              </w:rPr>
            </w:pPr>
          </w:p>
        </w:tc>
        <w:tc>
          <w:tcPr>
            <w:tcW w:w="37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655"/>
        </w:trPr>
        <w:tc>
          <w:tcPr>
            <w:tcW w:w="35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lowerLetter"/>
      <w:start w:val="1"/>
    </w:lvl>
  </w:abstractNum>
  <w:abstractNum w:abstractNumId="2">
    <w:nsid w:val="625558EC"/>
    <w:multiLevelType w:val="hybridMultilevel"/>
    <w:lvl w:ilvl="0">
      <w:lvlJc w:val="left"/>
      <w:lvlText w:val="☒"/>
      <w:numFmt w:val="bullet"/>
      <w:start w:val="1"/>
    </w:lvl>
    <w:lvl w:ilvl="1">
      <w:lvlJc w:val="left"/>
      <w:lvlText w:val="(%2)"/>
      <w:numFmt w:val="lowerLetter"/>
      <w:start w:val="3"/>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2026-04-30T15:17:19Z</dcterms:created>
  <dcterms:modified xsi:type="dcterms:W3CDTF">2026-04-30T15:17:19Z</dcterms:modified>
</cp:coreProperties>
</file>