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100330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100330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840" w:hanging="217"/>
        <w:spacing w:after="0"/>
        <w:tabs>
          <w:tab w:leader="none" w:pos="8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jc w:val="center"/>
        <w:ind w:left="3900" w:right="1120" w:hanging="2774"/>
        <w:spacing w:after="0" w:line="422" w:lineRule="auto"/>
        <w:tabs>
          <w:tab w:leader="none" w:pos="1331" w:val="left"/>
        </w:tabs>
        <w:numPr>
          <w:ilvl w:val="2"/>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157" w:lineRule="exact"/>
        <w:rPr>
          <w:rFonts w:ascii="MS PGothic" w:cs="MS PGothic" w:eastAsia="MS PGothic" w:hAnsi="MS PGothic"/>
          <w:sz w:val="18"/>
          <w:szCs w:val="18"/>
          <w:color w:val="auto"/>
          <w:highlight w:val="black"/>
        </w:rPr>
      </w:pPr>
    </w:p>
    <w:p>
      <w:pPr>
        <w:ind w:left="1140" w:hanging="199"/>
        <w:spacing w:after="0"/>
        <w:tabs>
          <w:tab w:leader="none" w:pos="1140" w:val="left"/>
        </w:tabs>
        <w:numPr>
          <w:ilvl w:val="1"/>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7"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157" w:lineRule="exact"/>
        <w:rPr>
          <w:rFonts w:ascii="MS PGothic" w:cs="MS PGothic" w:eastAsia="MS PGothic" w:hAnsi="MS PGothic"/>
          <w:sz w:val="18"/>
          <w:szCs w:val="18"/>
          <w:color w:val="auto"/>
          <w:highlight w:val="black"/>
        </w:rPr>
      </w:pPr>
    </w:p>
    <w:p>
      <w:pPr>
        <w:jc w:val="center"/>
        <w:ind w:left="3740" w:right="720" w:hanging="3014"/>
        <w:spacing w:after="0" w:line="458" w:lineRule="auto"/>
        <w:tabs>
          <w:tab w:leader="none" w:pos="937"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SHELL COMPANY REPORT PURSUANT TO SECTION 13 OR 15(d) OF THE SECURITIES EXCHANGE ACT OF 1934 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18415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3" w:lineRule="exact"/>
        <w:rPr>
          <w:sz w:val="24"/>
          <w:szCs w:val="24"/>
          <w:color w:val="auto"/>
        </w:rPr>
      </w:pPr>
    </w:p>
    <w:p>
      <w:pPr>
        <w:ind w:left="39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001-42760</w:t>
      </w:r>
    </w:p>
    <w:p>
      <w:pPr>
        <w:spacing w:after="0" w:line="135"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135"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135"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6/F, Building B-6, Block A Zhongguancun Dongsheng Technology Campus</w:t>
      </w:r>
    </w:p>
    <w:p>
      <w:pPr>
        <w:spacing w:after="0" w:line="31" w:lineRule="exact"/>
        <w:rPr>
          <w:sz w:val="24"/>
          <w:szCs w:val="24"/>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No. 66</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Xixiaokou Road</w:t>
      </w:r>
    </w:p>
    <w:p>
      <w:pPr>
        <w:spacing w:after="0" w:line="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Haidian District, Beijing 100192</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3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Shijie Chen, Chief Financial Officer</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6/F, Building B-6, Block A Zhongguancun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Dongsheng Technology Campus No. 66</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Xixiaokou Road</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Haidian District, Beijing 100192</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E-mail: ir@ymt360.com</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Telephone: +86 (10) 5708-6561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100330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American depositary shares, each</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YMT</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representing twenty-five (25) Class A ordinary</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shares</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01"/>
        </w:trPr>
        <w:tc>
          <w:tcPr>
            <w:tcW w:w="384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color w:val="auto"/>
                <w:w w:val="99"/>
              </w:rPr>
              <w:t>Class A ordinary share, par value US$0.00001</w:t>
            </w:r>
          </w:p>
        </w:tc>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9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per share</w:t>
            </w:r>
            <w:r>
              <w:rPr>
                <w:rFonts w:ascii="Times New Roman" w:cs="Times New Roman" w:eastAsia="Times New Roman" w:hAnsi="Times New Roman"/>
                <w:sz w:val="29"/>
                <w:szCs w:val="29"/>
                <w:color w:val="auto"/>
                <w:w w:val="98"/>
                <w:vertAlign w:val="superscript"/>
              </w:rPr>
              <w:t>*</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22" w:lineRule="exact"/>
        <w:rPr>
          <w:sz w:val="24"/>
          <w:szCs w:val="24"/>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listing on The Nasdaq Global Market of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w:t>
      </w:r>
    </w:p>
    <w:p>
      <w:pPr>
        <w:spacing w:after="0" w:line="15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of Class)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w:t>
      </w:r>
    </w:p>
    <w:p>
      <w:pPr>
        <w:spacing w:after="0" w:line="15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2,859,426,766 ordinary shares outstanding, par value US$0.00001 per share, being the sum of 2,516,653,606 Class A ordinary shares, par value US$0.00001 per share and 342,773,160 Class B ordinary shares, par value US$0.00001 per share.</w:t>
      </w:r>
    </w:p>
    <w:p>
      <w:pPr>
        <w:spacing w:after="0" w:line="5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98"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94"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0" w:hanging="192"/>
        <w:spacing w:after="0" w:line="207" w:lineRule="exact"/>
        <w:tabs>
          <w:tab w:leader="none" w:pos="2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904" w:right="339" w:bottom="1440" w:gutter="0" w:footer="0" w:header="0"/>
        </w:sectPr>
      </w:pP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Accelerated filer Emerging growth company</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1" w:lineRule="exact"/>
        <w:rPr>
          <w:sz w:val="20"/>
          <w:szCs w:val="20"/>
          <w:color w:val="auto"/>
        </w:rPr>
      </w:pPr>
    </w:p>
    <w:p>
      <w:pPr>
        <w:sectPr>
          <w:pgSz w:w="11900" w:h="16838" w:orient="portrait"/>
          <w:cols w:equalWidth="0" w:num="4">
            <w:col w:w="2580" w:space="720"/>
            <w:col w:w="180" w:space="480"/>
            <w:col w:w="2080" w:space="720"/>
            <w:col w:w="4480"/>
          </w:cols>
          <w:pgMar w:left="320" w:top="904" w:right="339" w:bottom="1440" w:gutter="0" w:footer="0" w:header="0"/>
          <w:type w:val="continuous"/>
        </w:sect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3" w:lineRule="exact"/>
        <w:rPr>
          <w:sz w:val="20"/>
          <w:szCs w:val="20"/>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94"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03"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03"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904" w:right="339" w:bottom="1440" w:gutter="0" w:footer="0" w:header="0"/>
          <w:type w:val="continuous"/>
        </w:sectPr>
      </w:pPr>
    </w:p>
    <w:p>
      <w:pPr>
        <w:spacing w:after="0" w:line="11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International Financial Reporting Standards as issued by the International</w:t>
      </w:r>
    </w:p>
    <w:p>
      <w:pPr>
        <w:spacing w:after="0" w:line="27" w:lineRule="exact"/>
        <w:rPr>
          <w:sz w:val="20"/>
          <w:szCs w:val="20"/>
          <w:color w:val="auto"/>
        </w:rPr>
      </w:pPr>
    </w:p>
    <w:p>
      <w:pPr>
        <w:jc w:val="center"/>
        <w:ind w:right="800"/>
        <w:spacing w:after="0" w:line="207" w:lineRule="exact"/>
        <w:rPr>
          <w:sz w:val="20"/>
          <w:szCs w:val="20"/>
          <w:color w:val="auto"/>
        </w:rPr>
      </w:pPr>
      <w:r>
        <w:rPr>
          <w:rFonts w:ascii="Times New Roman" w:cs="Times New Roman" w:eastAsia="Times New Roman" w:hAnsi="Times New Roman"/>
          <w:sz w:val="18"/>
          <w:szCs w:val="18"/>
          <w:color w:val="auto"/>
        </w:rPr>
        <w:t xml:space="preserve">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Other </w:t>
      </w:r>
      <w:r>
        <w:rPr>
          <w:rFonts w:ascii="MS PGothic" w:cs="MS PGothic" w:eastAsia="MS PGothic" w:hAnsi="MS PGothic"/>
          <w:sz w:val="16"/>
          <w:szCs w:val="16"/>
          <w:color w:val="auto"/>
        </w:rPr>
        <w:t>☐</w:t>
      </w:r>
    </w:p>
    <w:p>
      <w:pPr>
        <w:spacing w:after="0" w:line="436" w:lineRule="exact"/>
        <w:rPr>
          <w:sz w:val="20"/>
          <w:szCs w:val="20"/>
          <w:color w:val="auto"/>
        </w:rPr>
      </w:pPr>
    </w:p>
    <w:p>
      <w:pPr>
        <w:sectPr>
          <w:pgSz w:w="11900" w:h="16838" w:orient="portrait"/>
          <w:cols w:equalWidth="0" w:num="3">
            <w:col w:w="2240" w:space="720"/>
            <w:col w:w="6140" w:space="720"/>
            <w:col w:w="1420"/>
          </w:cols>
          <w:pgMar w:left="320" w:top="904"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rPr>
        <w:t>☐</w:t>
      </w:r>
    </w:p>
    <w:p>
      <w:pPr>
        <w:spacing w:after="0" w:line="62" w:lineRule="exact"/>
        <w:rPr>
          <w:sz w:val="20"/>
          <w:szCs w:val="20"/>
          <w:color w:val="auto"/>
        </w:rPr>
      </w:pPr>
    </w:p>
    <w:p>
      <w:pPr>
        <w:ind w:right="200"/>
        <w:spacing w:after="0" w:line="320"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(APPLICABLE ONLY TO ISSUERS INVOLVED IN BANKRUPTCY PROCEEDINGS DURING THE PAST FIVE YEARS)</w:t>
      </w:r>
    </w:p>
    <w:p>
      <w:pPr>
        <w:spacing w:after="0" w:line="131" w:lineRule="exact"/>
        <w:rPr>
          <w:sz w:val="20"/>
          <w:szCs w:val="20"/>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Amendment No. 1 (this “Amendment No. 1”) to the annual report on Form 20-F of Yimutian Inc. amends its annual report on Form 20-F for the year ended December 31, 2025 filed on May 15, 2026 (the “2025 Form 20-F”). Yimutian Inc. is filing this Amendment No. 1 solely to furnish Exhibit 101 in accordance with Rule 405 of Regulation S-T, which was not included in the 2025 Form 20-F in accordance with Rule 405 (a)(2)(ii) of Regulation S-T. Exhibit 101 includes information in eXtensible Business Reporting Language.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than as expressly set forth above, this Amendment No. 1 does not, and does not purport to, revise, update, amend or restate the information presented in, or any exhibits to, the 2025 Form 20-F or reflect any events that have occurred after the 2025 Form 20-F was originally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0" w:type="dxa"/>
            <w:vAlign w:val="bottom"/>
            <w:gridSpan w:val="15"/>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5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62"/>
        </w:trPr>
        <w:tc>
          <w:tcPr>
            <w:tcW w:w="10340" w:type="dxa"/>
            <w:vAlign w:val="bottom"/>
            <w:gridSpan w:val="36"/>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INTRODUCTION</w:t>
            </w:r>
          </w:p>
        </w:tc>
        <w:tc>
          <w:tcPr>
            <w:tcW w:w="9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r>
        <w:trPr>
          <w:trHeight w:val="176"/>
        </w:trPr>
        <w:tc>
          <w:tcPr>
            <w:tcW w:w="1034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FORWARD-LOOKING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2"/>
              </w:rPr>
              <w:t>iii</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1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5"/>
        </w:trPr>
        <w:tc>
          <w:tcPr>
            <w:tcW w:w="1140" w:type="dxa"/>
            <w:vAlign w:val="bottom"/>
            <w:tcBorders>
              <w:top w:val="single" w:sz="8" w:color="CCEEFF"/>
            </w:tcBorders>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02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KEY INFORMATION</w:t>
            </w:r>
          </w:p>
        </w:tc>
        <w:tc>
          <w:tcPr>
            <w:tcW w:w="5180" w:type="dxa"/>
            <w:vAlign w:val="bottom"/>
            <w:tcBorders>
              <w:top w:val="single" w:sz="8" w:color="CCEEFF"/>
            </w:tcBorders>
            <w:gridSpan w:val="13"/>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176"/>
        </w:trPr>
        <w:tc>
          <w:tcPr>
            <w:tcW w:w="1140" w:type="dxa"/>
            <w:vAlign w:val="bottom"/>
            <w:tcBorders>
              <w:top w:val="single" w:sz="8" w:color="CCEEFF"/>
            </w:tcBorders>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4A.</w:t>
            </w:r>
          </w:p>
        </w:tc>
        <w:tc>
          <w:tcPr>
            <w:tcW w:w="286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6340" w:type="dxa"/>
            <w:vAlign w:val="bottom"/>
            <w:tcBorders>
              <w:top w:val="single" w:sz="8" w:color="CCEEFF"/>
            </w:tcBorders>
            <w:gridSpan w:val="16"/>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103</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20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103</w:t>
            </w:r>
          </w:p>
        </w:tc>
      </w:tr>
      <w:tr>
        <w:trPr>
          <w:trHeight w:val="176"/>
        </w:trPr>
        <w:tc>
          <w:tcPr>
            <w:tcW w:w="1140" w:type="dxa"/>
            <w:vAlign w:val="bottom"/>
            <w:tcBorders>
              <w:top w:val="single" w:sz="8" w:color="CCEEFF"/>
            </w:tcBorders>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466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4540" w:type="dxa"/>
            <w:vAlign w:val="bottom"/>
            <w:tcBorders>
              <w:top w:val="single" w:sz="8" w:color="CCEEFF"/>
            </w:tcBorders>
            <w:gridSpan w:val="11"/>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116</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538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MAJOR SHAREHOLDERS AND RELATED PARTY TRANSACTIONS</w:t>
            </w:r>
          </w:p>
        </w:tc>
        <w:tc>
          <w:tcPr>
            <w:tcW w:w="3820" w:type="dxa"/>
            <w:vAlign w:val="bottom"/>
            <w:tcBorders>
              <w:bottom w:val="single" w:sz="8" w:color="CCEEFF"/>
            </w:tcBorders>
            <w:gridSpan w:val="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126</w:t>
            </w: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20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128</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21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THE OFFER AND LISTING</w:t>
            </w:r>
          </w:p>
        </w:tc>
        <w:tc>
          <w:tcPr>
            <w:tcW w:w="7060" w:type="dxa"/>
            <w:vAlign w:val="bottom"/>
            <w:tcBorders>
              <w:bottom w:val="single" w:sz="8" w:color="CCEEFF"/>
            </w:tcBorders>
            <w:gridSpan w:val="2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129</w:t>
            </w:r>
          </w:p>
        </w:tc>
      </w:tr>
      <w:tr>
        <w:trPr>
          <w:trHeight w:val="176"/>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20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129</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20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144</w:t>
            </w:r>
          </w:p>
        </w:tc>
      </w:tr>
      <w:tr>
        <w:trPr>
          <w:trHeight w:val="175"/>
        </w:trPr>
        <w:tc>
          <w:tcPr>
            <w:tcW w:w="1140" w:type="dxa"/>
            <w:vAlign w:val="bottom"/>
            <w:tcBorders>
              <w:top w:val="single" w:sz="8" w:color="CCEEFF"/>
            </w:tcBorders>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6140" w:type="dxa"/>
            <w:vAlign w:val="bottom"/>
            <w:tcBorders>
              <w:top w:val="single" w:sz="8" w:color="0000EE"/>
            </w:tcBorders>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3060" w:type="dxa"/>
            <w:vAlign w:val="bottom"/>
            <w:tcBorders>
              <w:top w:val="single" w:sz="8" w:color="CCEEFF"/>
            </w:tcBorders>
            <w:gridSpan w:val="5"/>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144</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1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147</w:t>
            </w:r>
          </w:p>
        </w:tc>
      </w:tr>
      <w:tr>
        <w:trPr>
          <w:trHeight w:val="21"/>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20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147</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20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147</w:t>
            </w:r>
          </w:p>
        </w:tc>
      </w:tr>
      <w:tr>
        <w:trPr>
          <w:trHeight w:val="176"/>
        </w:trPr>
        <w:tc>
          <w:tcPr>
            <w:tcW w:w="1140" w:type="dxa"/>
            <w:vAlign w:val="bottom"/>
            <w:tcBorders>
              <w:top w:val="single" w:sz="8" w:color="CCEEFF"/>
            </w:tcBorders>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7860" w:type="dxa"/>
            <w:vAlign w:val="bottom"/>
            <w:tcBorders>
              <w:top w:val="single" w:sz="8" w:color="0000EE"/>
            </w:tcBorders>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3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147</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10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[RESERVED]</w:t>
            </w:r>
          </w:p>
        </w:tc>
        <w:tc>
          <w:tcPr>
            <w:tcW w:w="8160" w:type="dxa"/>
            <w:vAlign w:val="bottom"/>
            <w:tcBorders>
              <w:bottom w:val="single" w:sz="8" w:color="CCEEFF"/>
            </w:tcBorders>
            <w:gridSpan w:val="2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149</w:t>
            </w: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16A.</w:t>
            </w:r>
          </w:p>
        </w:tc>
        <w:tc>
          <w:tcPr>
            <w:tcW w:w="920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149</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14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16B.</w:t>
            </w:r>
          </w:p>
        </w:tc>
        <w:tc>
          <w:tcPr>
            <w:tcW w:w="920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CODE OF ETHICS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149</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16C.</w:t>
            </w:r>
          </w:p>
        </w:tc>
        <w:tc>
          <w:tcPr>
            <w:tcW w:w="920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149</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14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16D.</w:t>
            </w:r>
          </w:p>
        </w:tc>
        <w:tc>
          <w:tcPr>
            <w:tcW w:w="920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149</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16E.</w:t>
            </w:r>
          </w:p>
        </w:tc>
        <w:tc>
          <w:tcPr>
            <w:tcW w:w="920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149</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16F.</w:t>
            </w:r>
          </w:p>
        </w:tc>
        <w:tc>
          <w:tcPr>
            <w:tcW w:w="920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149</w:t>
            </w:r>
          </w:p>
        </w:tc>
      </w:tr>
      <w:tr>
        <w:trPr>
          <w:trHeight w:val="176"/>
        </w:trPr>
        <w:tc>
          <w:tcPr>
            <w:tcW w:w="1140" w:type="dxa"/>
            <w:vAlign w:val="bottom"/>
            <w:tcBorders>
              <w:top w:val="single" w:sz="8" w:color="CCEEFF"/>
            </w:tcBorders>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16G.</w:t>
            </w:r>
          </w:p>
        </w:tc>
        <w:tc>
          <w:tcPr>
            <w:tcW w:w="468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4520" w:type="dxa"/>
            <w:vAlign w:val="bottom"/>
            <w:tcBorders>
              <w:top w:val="single" w:sz="8" w:color="CCEEFF"/>
            </w:tcBorders>
            <w:gridSpan w:val="10"/>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150</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14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16H.</w:t>
            </w:r>
          </w:p>
        </w:tc>
        <w:tc>
          <w:tcPr>
            <w:tcW w:w="920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151</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16I.</w:t>
            </w:r>
          </w:p>
        </w:tc>
        <w:tc>
          <w:tcPr>
            <w:tcW w:w="920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151</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16J.</w:t>
            </w:r>
          </w:p>
        </w:tc>
        <w:tc>
          <w:tcPr>
            <w:tcW w:w="920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INSIDER TRADING POLICIES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151</w:t>
            </w:r>
          </w:p>
        </w:tc>
      </w:tr>
      <w:tr>
        <w:trPr>
          <w:trHeight w:val="175"/>
        </w:trPr>
        <w:tc>
          <w:tcPr>
            <w:tcW w:w="1140" w:type="dxa"/>
            <w:vAlign w:val="bottom"/>
            <w:tcBorders>
              <w:top w:val="single" w:sz="8" w:color="CCEEFF"/>
            </w:tcBorders>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16K.</w:t>
            </w:r>
          </w:p>
        </w:tc>
        <w:tc>
          <w:tcPr>
            <w:tcW w:w="240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6800" w:type="dxa"/>
            <w:vAlign w:val="bottom"/>
            <w:tcBorders>
              <w:top w:val="single" w:sz="8" w:color="CCEEFF"/>
            </w:tcBorders>
            <w:gridSpan w:val="19"/>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151</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1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152</w:t>
            </w:r>
          </w:p>
        </w:tc>
      </w:tr>
      <w:tr>
        <w:trPr>
          <w:trHeight w:val="21"/>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17.</w:t>
            </w:r>
          </w:p>
        </w:tc>
        <w:tc>
          <w:tcPr>
            <w:tcW w:w="920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152</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5"/>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18.</w:t>
            </w:r>
          </w:p>
        </w:tc>
        <w:tc>
          <w:tcPr>
            <w:tcW w:w="21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FINANCIAL STATEMENTS</w:t>
            </w:r>
          </w:p>
        </w:tc>
        <w:tc>
          <w:tcPr>
            <w:tcW w:w="7040" w:type="dxa"/>
            <w:vAlign w:val="bottom"/>
            <w:tcBorders>
              <w:bottom w:val="single" w:sz="8" w:color="CCEEFF"/>
            </w:tcBorders>
            <w:gridSpan w:val="2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152</w:t>
            </w:r>
          </w:p>
        </w:tc>
      </w:tr>
      <w:tr>
        <w:trPr>
          <w:trHeight w:val="175"/>
        </w:trPr>
        <w:tc>
          <w:tcPr>
            <w:tcW w:w="1140" w:type="dxa"/>
            <w:vAlign w:val="bottom"/>
            <w:gridSpan w:val="5"/>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19.</w:t>
            </w:r>
          </w:p>
        </w:tc>
        <w:tc>
          <w:tcPr>
            <w:tcW w:w="920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152</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1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SIGNATURES</w:t>
            </w: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155</w:t>
            </w:r>
          </w:p>
        </w:tc>
      </w:tr>
      <w:tr>
        <w:trPr>
          <w:trHeight w:val="20"/>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annual report on Form 20-F to:</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the American depositary shares, each representing 25 Class A ordinary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“Apps” with respect to the online applications we offer, are to Yimutian App and Douniu App, unless the context indicates otherwise;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“buyers” in a given year or as of a given date are to users who have logged in on our platform to access market information and seller information, and engage in potential transaction negotiations with sellers prior to the end of that year or that date, excluding users that have posted product listings on our platform prior to the end of that year or that date;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“CAC” is to the Cyberspace Administration of China;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“CAGR” are to compound annual growth 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to our Class A ordinary shares with a par value of US$0.00001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to our Class B ordinary shares with a par value of US$0.00001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“CSRC” is to the China Securities Regulatory Commission;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“merchants” are to sellers and buyers of agricultural products, unless the context indicates otherwise; we sometimes refer to merchants as our users;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our ordinary shares, par value US$0.00001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are to the legal currency of mainland China;</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in a given year are to users who have logged in on our platform during that year and posted product listings on our platform prior to the end of that year; “sellers” as of a given date are to users who have posted product listings on our platform prior to that date;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or “U.S. dollars” are to the legal currency of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are to accounting principles generally accepted in the United States of America;</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“VIEs” are to Beijing Douniu Network Technology Co., Ltd., or Beijing Douniu, and Beijing Yimutian Xinnong Network Co., Ltd., or Yimutian Xinnong;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“WFOE,” “wholly foreign owned entity,” or “Beijing Yimutian” are to Beijing Yimutian Network Technology Co., Ltd.;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“Yimutian,” “we,” “us,” “our company,” “the Company,” “or “our” are to Yimutian Inc. and its subsidiaries, and, in the context of describing our operations and consolidated financial information, also includes the VIEs in mainland China.</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reporting currency is Renminbi. Unless otherwise noted, all translations from Renminbi to U.S. dollars and from U.S. dollars to Renminbi in this annual report are made at a rate of RMB6.9931 to US$1.0000, the exchange rate in effect as of December 31, 2025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that reflect our current expectations and views of future events.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“anticipate,” “believe,” “could,” “expect,” “should,” “plan,” “intend,” “estimate,” “is/are likely to,” “potential” and “continue,” among others.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80"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demographic and business conditions in China and globally;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mission, goals and strategies;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and market acceptance of our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industries in which we operate;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qualified personnel and the ability to retain such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policies and regulation;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affect our financial condition, liquidity and results of operations;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“Item 3. Key Information—D. Risk Factors.”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“Item</w:t>
      </w:r>
    </w:p>
    <w:p>
      <w:pPr>
        <w:spacing w:after="0" w:line="1" w:lineRule="exact"/>
        <w:rPr>
          <w:sz w:val="20"/>
          <w:szCs w:val="20"/>
          <w:color w:val="auto"/>
        </w:rPr>
      </w:pPr>
    </w:p>
    <w:p>
      <w:pPr>
        <w:jc w:val="both"/>
        <w:ind w:firstLine="8"/>
        <w:spacing w:after="0" w:line="253" w:lineRule="auto"/>
        <w:tabs>
          <w:tab w:leader="none" w:pos="20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Information—D. Risk Factors,” “Item 4. Information on the Company—B. Business Overview,” “Item 5. Operating and Financial Review and Prospects,” and other sections in this annual report. You should read thoroughly this annual report and the documents that we refer to with the understanding that our actual future results may be materially different from and worse than what we expect. We qualify all of our forward-looking statements by these cautionary statements.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have filed as exhibits to this annual report, completely and with the understanding that our actual future results may be materially different from what we expect.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Holding Company Structure and Contractual Arrangements with the VIEs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Yimutian Inc. is not an operating company but a Cayman Islands holding company. Laws, regulations, and rules of mainland China restrict and impose conditions on direct foreign investment in certain types of business, including value-added telecommunication business. Accordingly, we conduct operations in mainland China primarily through the consolidated variable interest entities, Beijing Douniu Network Technology Co., Ltd. and Beijing Yimutian Xinnong Network Co., Ltd., or the VIEs, with which we have maintained contractual arrangements and to a lesser extent, through our subsidiaries in mainland China, Beijing Yimutian Network Technology Co., Ltd. The VIEs are consolidated for accounting purpose, and Yimutian Inc. does not own any equity interest in the VIEs. These contractual arrangements entered into with the VIEs allow us to receive substantially all of the economic benefits of the VIEs, and have an exclusive option to purchase all or part of the equity interests in the VIEs when and to the extent permitted by laws of mainland China. These contractual arrangements include exclusive business cooperation agreement, exclusive option agreement, equity pledge agreement and powers of attorney. For a summary of such contractual arrangements, see “Item 4. Information on the Company—C. Organizational Structure— Contractual Arrangements and the VIEs.” As a result of the contractual arrangements, we are regarded as the primary beneficiary of the VIEs for accounting purpose. We treat them as our consolidated affiliated entities under U.S. GAAP, and have consolidated the financial results of these entities in our consolidated financial statements in accordance with U.S. GAAP, to the extent the conditions for consolidation of the VIEs under U.S. GAAP are satisfied. As of December 31, 2023, 2024 and 2025, total assets of the VIEs, excluding amounts due from Yimutian Inc. and its other subsidiaries, represented 15.9%, 13.6% and 9.2% of our consolidated total assets as of the same dates, respectively. In 2023, 2024 and 2025, total revenues of the VIEs and their subsidiaries represented 99.8%, 99.3% and 99.8% of our consolidated total revenues in the same periods, respectively.</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Even though these contractual arrangements allow us to be considered the primary beneficiary of the VIEs for accounting purpose, which results in the consolidation of the VIEs’ operating results in our financial statements under U.S. GAAP, such control may be less effective than equity ownership, and we could face heightened risks and costs in enforcing these contractual arrangements, because there are substantial uncertainties regarding the interpretation and application of current and future laws, regulations, and rules of mainland China relating to the legality and enforceability of these contractual arrangements. For the risks related to the nominee shareholders of the VIEs, see “Item 3. Key Information—D. Risk Factors—Risks Related to Our Corporate Structure—Yimutian Inc. is a Cayman Islands holding company with no operations of its own and we currently conduct our operations in mainland China through our subsidiaries and the VIEs. Investors in our ADSs should note that they are purchasing equity interests in a Cayman Islands holding company rather than equity interests in the VIEs in mainland China. Given that there are uncertainties regarding the interpretation and application of current and future PRC laws, regulations, and rules relating to the agreements that establish the VIE structure for our operations in mainland China, including potential future actions by the mainland China government, if the mainland China government deems that our contractual arrangements with the VIEs do not comply with the laws of mainland China, or if regulations or interpretation of the existing regulations change in the future, we could be subject to penalties or be forced to relinquish our interests in the VIEs” and “Item 3. Key Information—D. Risk Factors—Risks Related to Our Corporate Structure — Any failure by any of the VIEs or their shareholders to perform their respective obligations under our contractual arrangements with them would have a material and adverse effect on our business.”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corporate structure involves unique risks to investors in the ADSs. Investors in our ADSs thus are not purchasing equity interest in the VIEs in mainland China but instead are purchasing equity interest in a Cayman Islands holding company. Investors may never directly hold equity interest in the VIEs. Our contractual arrangements with the VIEs and their respective shareholders have not been tested in a court of law in mainland China. If the mainland China government deems that our contractual arrangements with the VIEs do not comply with the laws of mainland China, or if these laws, or the interpretation of existing laws, change in the future, we could be subject to material penalties or be forced to relinquish our interests in those operations or otherwise significantly change our corporate structure. We and our investors face substantial uncertainty that could affect the legality and enforceability of the contractual arrangements with the VIEs and, consequently, significantly affect our ability to consolidate the financial results of the VIEs and the financial performance of our company as a whole. Our ADSs may decline in value or become worthless, if we are unable to claim our contractual control rights over the assets of the VIEs that conduct certain portion of our operations in mainland China. See “Item 3. Key Information—D. Risk Factors—Risks Related to Our Corporate Structure” for detailed discussion.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 Relating to Doing Business in China</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and the VIEs face various legal and operational risks and uncertainties related to being based in and have all of the operations in mainland China. The mainland China government has significant oversight and discretion over the conduct of our and the VIEs’ business and may influence our and the VIEs’ operations as the government deems appropriate to further regulatory, political and societal goals. For example, we face risks associated with oversight on cybersecurity and data privacy, regulatory approvals of offshore offerings and anti-monopoly regulatory actions. In particular, the mainland China government has recently published new policies that significantly affected certain industries such as the internet industries, and we cannot rule out the possibility that it will in the future release regulations or policies regarding our industry that could adversely affect our and the VIEs’ business, financial condition and results of operations. Furthermore, the mainland China government has recently promulgated certain measures to supervise the overseas securities offerings, exerting more oversight and control over securities offerings and other capital markets activities and foreign investment in companies based in mainland China. Any failure to comply with such new measures over overseas securities offering could significantly limit or completely hinder our ability to offer or continue to offer securities to investors and cause the value of such securities to significantly decline or become worthless. For more details, see “Item 3. Key Information—D. Risk Factors—Risks Related to Doing Business in Mainland China—We are subject to evolving laws and regulations of mainland China that could require us to modify our current business practices and incur increased costs, and the mainland China government’s oversight over our business operations could result in a material adverse change in our operations and the value of our Class A ordinary shares or ADSs.”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conduct our business through our mainland China subsidiaries and the VIEs in mainland China. Our operations in mainland China are governed by mainland China laws and regulations. As advised by Global Law Office, our PRC counsel, as of the date of this annual report, our mainland China subsidiaries and the VIEs have obtained all material licenses and permits from the mainland China government authorities that are necessary for their business operations in China.</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be required to obtain additional licenses, permits, filings, or approvals for our business operations in the future. If we or any of the VIEs is found to be in violation of any existing or future laws or regulations of mainland China, or fail to obtain or maintain any of the required permits or approvals, the PRC regulatory authorities would have discretion to take action in dealing with such violations or failures. In addition, if we had inadvertently concluded that such approvals, permits, registrations or filings were not required, or if applicable laws, regulations or interpretations change in a way that requires us to obtain such approval, permits, registrations or filings in the future, we may be unable to obtain such necessary approvals, permits, registrations or filings in a timely manner, or at all, and such approvals, permits, registrations or filings may be rescinded even if obtained. Any such circumstance may subject us to fines and other regulatory, civil or criminal liabilities, and we may be ordered by the competent government authorities to suspend relevant operations, which will materially and adversely affect our business operation. In addition, there can be no assurance that we or the VIEs will be able to maintain the existing licenses, approvals, registrations, permits and filings necessary to operate current business in mainland China, renew any of these upon expiry in the future, or update the existing licenses or obtain additional licenses, approvals, permits, registrations or filings necessary for our business expansion from time to time. If we or the VIEs fail to do so, our business, financial condition and operational results may be materially and adversely affected. For risks relating to licenses and approvals required for our operations in China, see “Item 3. Key Information—D. Risk Factors—Risks Related to Our Business and Industry—Any lack of requisite approvals, licenses or permits applicable to our business may subject us to administrative penalties or other government sanctions and have a material and adverse effect on our business, financial condition and results of operations.”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we and the VIEs will be required to obtain permissions from or complete the filing procedures with the China Securities Regulatory Commission, or the CSRC, and may be required to go through cybersecurity review by the Cyberspace Administration of China, or the CAC, in case of any future issuance of securities to foreign investors. Any failure to obtain or delay in obtaining such approval or completing such procedures would subject us to sanctions by the CSRC, CAC or other PRC regulatory authorities.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ADSs. For more details, see “Item 3. Key Information—D. Risk Factors—Risks Related to Doing Business in China—We are subject to evolving laws and regulations of mainland China that could require us to modify our current business practices and incur increased costs, and the mainland China government’s oversight over our business operations could result in a material adverse change in our operations and the value of our Class A ordinary shares or ADSs” and “Item 3. Key Information—D. Risk Factors—Risks Related to Doing Business in China—The approval of and/or filing with the CSRC or other PRC government authorities may be required in connection with our offshore offerings under the laws of mainland China, and, if required, we cannot predict whether or for how long we will be able to obtain such approval or complete such filing.”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The independent registered public accounting firm that we use, Assentsure PAC, is headquartered in Singapore. On December 15, 2022, the PCAOB issued a report that vacated its December 16, 2021 determination and removed mainland China and Hong Kong from the list of jurisdictions where it is unable to inspect or investigate completely registered public accounting firms. On December 29, 2022, the Consolidated Appropriations Act, 2023, was signed into law, which amended the HFCAA (i) to reduce the number of consecutive non-inspection years required for triggering the prohibitions under the HFCAA from three years to two, and (ii) so that any foreign jurisdiction could be the reason why the PCAOB does not have complete access to inspect or investigate a company’s auditors. As it was originally enacted, the HFCAA applied only if the PCAOB’s inability to inspect or investigate because of a position taken by an authority in the foreign jurisdiction where the relevant public accounting firm is located. As a result of the Consolidated Appropriations Act, 2023, the HFCAA now also applies if the PCAOB’s inability to inspect or investigate the relevant accounting firm is due to a position taken by an authority in any foreign jurisdiction. The denying jurisdiction does not need to be where the accounting firm is located. Each year, the PCAOB will determine whether it can inspect and investigate completely audit firms in foreign jurisdictions. If the PCAOB determines in the future that it no longer has full access to inspect and investigate completely accounting firms in to the jurisdiction where the accounting firm that we use to issue an audit report on our financial statements filed with the Securities and Exchange Commission is headquartered,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Information—D. Risk Factors—Risks Related to Doing Business in Mainland China—Our ADSs may be prohibited from trading in the United States under the HFCAA in the future if the PCAOB is unable to inspect or investigate completely auditors located in mainland China and Hong Kong. The delisting of the ADSs, or the threat of their being delisted, may materially and adversely affect the value of your investment.”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Through Our Organization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Yimutian Inc. and the WFOE are not able to make direct capital contributions to the VIEs. However, under the laws and regulations of mainland China, they are permitted to remit funds to the VIEs through loans or by making payment to the VIEs for intragroup transactions. In 2023, 2024 and 2025, the WFOE made payments to the VIEs for intragroup transactions in the amounts of RMB30.0 million, RMB6.9 million and RMB22.8 million (US$3.3 million), respectively. As of December 31, 2023, 2024 and 2025, the outstanding balance of intragroup transactions from the WFOE to the VIEs was RMB68.9 million, RMB75.8 million and RMB98.6 million (US$14.1 million),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VIEs may transfer cash to the WFOE by paying service fees according to the exclusive business cooperation agreement. In 2023, 2024 and 2025, the VIEs transferred RMB28.3 million, RMB28.3 million and RMB28.3 million (US$4.0 million), respectively, to our WFOE as service fees under the exclusive business cooperation agreement. We plan to continue to determine the amount of service fees and payment method with the VIEs and their shareholders based on the working capital needs of the VIEs, and settle fees under the contractual arrangements accordingly in the future.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2023, 2024 and 2025, no assets other than cash flows discussed above were transferred through our organization.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laws and regulations of mainland China, we are subject to restrictions on foreign exchange and cross-border cash transfers, including to the Cayman Island holding company and U.S. investors. Our ability to distribute earnings to the Cayman Island holding company and U.S. investors is also limited. We are a Cayman Islands holding company and rely on dividends and other distributions on equity from our mainland China subsidiaries for our cash requirements, including the funds necessary to pay dividends and other cash distributions to our shareholders and service any debt we may incur outside of mainland China. Current mainland China regulations permit our mainland China subsidiaries to pay dividends to us only out of their accumulated after-tax profits upon satisfaction of relevant statutory conditions and procedures, if any, determined in accordance with Chinese accounting standards and regulations. In addition, our mainland China subsidiaries are required to set aside at least 10% of its after-tax profits each year, if any, to fund certain reserve funds until the total amount set aside reaches 50% of its registered capital. These reserves, together with the registered capital, are not distributable as cash dividends. Additionally, if our mainland China subsidiaries incur debt on its own behalf in the future, the instruments governing its debt may restrict its ability to pay dividends or make other distributions to us. In addition, the revenues and assets of our mainland China subsidiaries are generally denominated in Renminbi, which is not freely convertible into other currencies. As a result, any restriction on currency exchange may limit the ability of our mainland China subsidiaries to pay dividends to us. For more details, see “Item 3. Key Information—D. Risk Factors—Risks Related to Doing Business in Mainland China—We may rely on dividends and other distributions on equity paid by our subsidiaries in mainland China to fund any cash and financing requirements we may have, and any limitation on the ability of our subsidiaries in mainland China to make payments to us could have a material and adverse effect on our ability to conduct our business” and “Item 3. Key Information—D. Risk Factors—Risks Related to Doing Business in Mainland China—Mainland China regulations of loans to and direct investment in domestic entities by offshore holding companies and governmental regulations of currency conversion may restrict or delay us from using the proceeds of our initial public offering or other offshore financing activities to make loans or additional capital contributions to our subsidiaries in mainland China, which could adversely affect our liquidity and our ability to fund and expand our business.”</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established stringent controls and procedures for cash flows within our organization. Each transfer of cash among our Cayman Islands holding company and our subsidiaries is subject to internal approval. To effect a cash transfer, a number of steps are needed, including but not limited to the issuance of payment receipt, logging into the online banking system and completing its verification process, inspection of the invoice, and payment execution. A single employee is not permitted to complete each and every stage of a cash transfer, but rather only portions of the whole procedure. Only the finance department is authorized to make cash transfers. Within the finance department, the roles of payment approval, payment execution, record keeping, and auditing are segregated to minimize risk.</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not previously declared or paid any cash dividend or dividend in kind, and has no plan to declare or pay any dividends in the near future on our shares or the ADSs representing our Class A ordinary shares. We currently intend to retain most, if not all, of our available funds and any future earnings to operate and expand our business. Our board of directors has discretion on whether to distribute dividends, subject to certain requirements of Cayman Islands law.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illustration, the following discussion reflects the hypothetical taxes that might be required to be paid within mainland China, assuming that: (i) we have taxable earnings, and (ii) we determine to pay dividends in the future.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9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Tax</w:t>
            </w:r>
          </w:p>
        </w:tc>
      </w:tr>
      <w:tr>
        <w:trPr>
          <w:trHeight w:val="282"/>
        </w:trPr>
        <w:tc>
          <w:tcPr>
            <w:tcW w:w="99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5"/>
              </w:rPr>
              <w:t>calculation</w:t>
            </w:r>
            <w:r>
              <w:rPr>
                <w:rFonts w:ascii="Times New Roman" w:cs="Times New Roman" w:eastAsia="Times New Roman" w:hAnsi="Times New Roman"/>
                <w:sz w:val="29"/>
                <w:szCs w:val="29"/>
                <w:b w:val="1"/>
                <w:bCs w:val="1"/>
                <w:color w:val="auto"/>
                <w:w w:val="95"/>
                <w:vertAlign w:val="superscript"/>
              </w:rPr>
              <w:t>(1)</w:t>
            </w:r>
          </w:p>
        </w:tc>
        <w:tc>
          <w:tcPr>
            <w:tcW w:w="220" w:type="dxa"/>
            <w:vAlign w:val="bottom"/>
            <w:tcBorders>
              <w:bottom w:val="single" w:sz="8" w:color="CCEEFF"/>
            </w:tcBorders>
          </w:tcPr>
          <w:p>
            <w:pPr>
              <w:spacing w:after="0"/>
              <w:rPr>
                <w:sz w:val="24"/>
                <w:szCs w:val="24"/>
                <w:color w:val="auto"/>
              </w:rPr>
            </w:pPr>
          </w:p>
        </w:tc>
      </w:tr>
      <w:tr>
        <w:trPr>
          <w:trHeight w:val="243"/>
        </w:trPr>
        <w:tc>
          <w:tcPr>
            <w:tcW w:w="99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Hypothetical pre-tax earnings</w:t>
            </w:r>
            <w:r>
              <w:rPr>
                <w:rFonts w:ascii="Times New Roman" w:cs="Times New Roman" w:eastAsia="Times New Roman" w:hAnsi="Times New Roman"/>
                <w:sz w:val="28"/>
                <w:szCs w:val="28"/>
                <w:color w:val="auto"/>
                <w:vertAlign w:val="superscript"/>
              </w:rPr>
              <w:t>(2)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57"/>
        </w:trPr>
        <w:tc>
          <w:tcPr>
            <w:tcW w:w="99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Tax on earnings at statutory rate of 25%</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available for distribution</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r>
        <w:trPr>
          <w:trHeight w:val="257"/>
        </w:trPr>
        <w:tc>
          <w:tcPr>
            <w:tcW w:w="99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Withholding tax at standard rate of 10%</w:t>
            </w:r>
            <w:r>
              <w:rPr>
                <w:rFonts w:ascii="Times New Roman" w:cs="Times New Roman" w:eastAsia="Times New Roman" w:hAnsi="Times New Roman"/>
                <w:sz w:val="29"/>
                <w:szCs w:val="29"/>
                <w:color w:val="auto"/>
                <w:vertAlign w:val="superscript"/>
              </w:rPr>
              <w:t>(4)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distribution to Parent/Shareholders</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example, the tax calculation has been simplified. The hypothetical book pre-tax earnings amount, not considering timing differences, is assumed to equal taxable income in China.</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VIE agreements, our WFOE may charge the VIEs for services provided to VIEs. These service fees shall be recognized as expenses of the VIEs, with a corresponding amount as service income by our WFOE and eliminate in consolidation. For income tax purposes, our WFOE and VIEs file income tax returns on a separate company basis. The service fees paid are recognized as a tax deduction by the VIEs and as income by our WFOE and are tax neutral.</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subsidiaries and VIEs qualify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Enterprise Income Tax Law imposes a withholding income tax of 10% on dividends distributed by a foreign invested enterprise, or FIE, to its immediate holding company outside of China. A lower withholding income tax rate of 5% is applied if the FIE’s immediate holding company is registered in Hong Kong or other jurisdictions that have a tax treaty arrangement with mainland China, subject to a qualification review at the time of the distribution. For purposes of this hypothetical example, the table above assumes a maximum tax scenario under which the full withholding tax would be applied.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Related to The VIEs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condensed consolidating schedule of financial position for Yimutian Inc., WFOE, other subsidiaries, and VIEs and VIEs’ subsidiaries, and eliminating adjustments separately for the years / as of the dates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Consolidating Statements of Comprehensive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6"/>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2025</w:t>
            </w: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141"/>
              <w:spacing w:after="0" w:line="194" w:lineRule="exact"/>
              <w:rPr>
                <w:sz w:val="20"/>
                <w:szCs w:val="20"/>
                <w:color w:val="auto"/>
              </w:rPr>
            </w:pPr>
            <w:r>
              <w:rPr>
                <w:rFonts w:ascii="Times New Roman" w:cs="Times New Roman" w:eastAsia="Times New Roman" w:hAnsi="Times New Roman"/>
                <w:sz w:val="18"/>
                <w:szCs w:val="18"/>
                <w:b w:val="1"/>
                <w:bCs w:val="1"/>
                <w:color w:val="auto"/>
              </w:rPr>
              <w:t>VIEs and</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Yimutian</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18"/>
                <w:szCs w:val="18"/>
                <w:color w:val="auto"/>
              </w:rPr>
            </w:pP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VIEs’</w:t>
            </w: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Eliminating</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380" w:type="dxa"/>
            <w:vAlign w:val="bottom"/>
            <w:gridSpan w:val="2"/>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Inc.</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WFOE</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20" w:type="dxa"/>
            <w:vAlign w:val="bottom"/>
          </w:tcPr>
          <w:p>
            <w:pPr>
              <w:spacing w:after="0"/>
              <w:rPr>
                <w:sz w:val="21"/>
                <w:szCs w:val="21"/>
                <w:color w:val="auto"/>
              </w:rPr>
            </w:pP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2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4"/>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(RMB in thousands)</w:t>
            </w: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140,318</w:t>
            </w:r>
          </w:p>
        </w:tc>
        <w:tc>
          <w:tcPr>
            <w:tcW w:w="1320" w:type="dxa"/>
            <w:vAlign w:val="bottom"/>
            <w:tcBorders>
              <w:left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(28,302)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140,655</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(2,851)</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(132)</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(18,621)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0" w:type="dxa"/>
            <w:vAlign w:val="bottom"/>
          </w:tcPr>
          <w:p>
            <w:pPr>
              <w:spacing w:after="0"/>
              <w:rPr>
                <w:sz w:val="1"/>
                <w:szCs w:val="1"/>
                <w:color w:val="auto"/>
              </w:rPr>
            </w:pPr>
          </w:p>
        </w:tc>
      </w:tr>
      <w:tr>
        <w:trPr>
          <w:trHeight w:val="236"/>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25,451</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121,697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(28,302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119,051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Selling and marketing expenses, general</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administrative expenses and research</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development expenses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(23,387)</w:t>
            </w: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(29,761)</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(3,840)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(137,133)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28,302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(165,819)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(income)/expenses, net</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1,821</w:t>
            </w:r>
          </w:p>
        </w:tc>
        <w:tc>
          <w:tcPr>
            <w:tcW w:w="1320" w:type="dxa"/>
            <w:vAlign w:val="bottom"/>
            <w:tcBorders>
              <w:lef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4,988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(592)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(272)</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(224)</w:t>
            </w:r>
          </w:p>
        </w:tc>
        <w:tc>
          <w:tcPr>
            <w:tcW w:w="1320" w:type="dxa"/>
            <w:vAlign w:val="bottom"/>
            <w:tcBorders>
              <w:lef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167"/>
        </w:trPr>
        <w:tc>
          <w:tcPr>
            <w:tcW w:w="328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Loss before income taxes and share of</w:t>
            </w:r>
          </w:p>
        </w:tc>
        <w:tc>
          <w:tcPr>
            <w:tcW w:w="11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loss of equity method investment</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(24,002)</w:t>
            </w: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(1,115)</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(3,905)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(13,837)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(42,859)</w:t>
            </w: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lef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(24,002)</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(1,115)</w:t>
            </w: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(3,905)</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(13,837)</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(42,859)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non-controlling</w:t>
            </w:r>
          </w:p>
        </w:tc>
        <w:tc>
          <w:tcPr>
            <w:tcW w:w="1380" w:type="dxa"/>
            <w:vAlign w:val="bottom"/>
            <w:gridSpan w:val="2"/>
            <w:vMerge w:val="restart"/>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2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left w:val="single" w:sz="8" w:color="CCEEFF"/>
            </w:tcBorders>
            <w:gridSpan w:val="2"/>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21"/>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38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320" w:type="dxa"/>
            <w:vAlign w:val="bottom"/>
            <w:tcBorders>
              <w:left w:val="single" w:sz="8" w:color="CCEEFF"/>
            </w:tcBorders>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21"/>
              <w:spacing w:after="0" w:line="15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1"/>
              <w:spacing w:after="0" w:line="15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center"/>
              <w:ind w:right="70"/>
              <w:spacing w:after="0" w:line="15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line="15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135"/>
        </w:trPr>
        <w:tc>
          <w:tcPr>
            <w:tcW w:w="328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 attributable to Yimutian Inc</w:t>
            </w:r>
          </w:p>
        </w:tc>
        <w:tc>
          <w:tcPr>
            <w:tcW w:w="112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12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(1,115</w:t>
            </w:r>
          </w:p>
        </w:tc>
        <w:tc>
          <w:tcPr>
            <w:tcW w:w="240" w:type="dxa"/>
            <w:vAlign w:val="bottom"/>
            <w:vMerge w:val="continue"/>
          </w:tcPr>
          <w:p>
            <w:pPr>
              <w:spacing w:after="0"/>
              <w:rPr>
                <w:sz w:val="11"/>
                <w:szCs w:val="11"/>
                <w:color w:val="auto"/>
              </w:rPr>
            </w:pPr>
          </w:p>
        </w:tc>
        <w:tc>
          <w:tcPr>
            <w:tcW w:w="114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(3,172</w:t>
            </w:r>
          </w:p>
        </w:tc>
        <w:tc>
          <w:tcPr>
            <w:tcW w:w="22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1320" w:type="dxa"/>
            <w:vAlign w:val="bottom"/>
            <w:gridSpan w:val="2"/>
            <w:vMerge w:val="restart"/>
          </w:tcPr>
          <w:p>
            <w:pPr>
              <w:jc w:val="right"/>
              <w:ind w:right="141"/>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3280" w:type="dxa"/>
            <w:vAlign w:val="bottom"/>
            <w:vMerge w:val="continue"/>
          </w:tcPr>
          <w:p>
            <w:pPr>
              <w:spacing w:after="0"/>
              <w:rPr>
                <w:sz w:val="6"/>
                <w:szCs w:val="6"/>
                <w:color w:val="auto"/>
              </w:rPr>
            </w:pPr>
          </w:p>
        </w:tc>
        <w:tc>
          <w:tcPr>
            <w:tcW w:w="1380" w:type="dxa"/>
            <w:vAlign w:val="bottom"/>
            <w:gridSpan w:val="2"/>
          </w:tcPr>
          <w:p>
            <w:pPr>
              <w:jc w:val="right"/>
              <w:ind w:right="181"/>
              <w:spacing w:after="0" w:line="68" w:lineRule="exact"/>
              <w:rPr>
                <w:sz w:val="20"/>
                <w:szCs w:val="20"/>
                <w:color w:val="auto"/>
              </w:rPr>
            </w:pPr>
            <w:r>
              <w:rPr>
                <w:rFonts w:ascii="Times New Roman" w:cs="Times New Roman" w:eastAsia="Times New Roman" w:hAnsi="Times New Roman"/>
                <w:sz w:val="7"/>
                <w:szCs w:val="7"/>
                <w:b w:val="1"/>
                <w:bCs w:val="1"/>
                <w:color w:val="auto"/>
              </w:rPr>
              <w:t>(24,002</w:t>
            </w:r>
          </w:p>
        </w:tc>
        <w:tc>
          <w:tcPr>
            <w:tcW w:w="11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gridSpan w:val="2"/>
          </w:tcPr>
          <w:p>
            <w:pPr>
              <w:jc w:val="right"/>
              <w:ind w:right="141"/>
              <w:spacing w:after="0" w:line="68" w:lineRule="exact"/>
              <w:rPr>
                <w:sz w:val="20"/>
                <w:szCs w:val="20"/>
                <w:color w:val="auto"/>
              </w:rPr>
            </w:pPr>
            <w:r>
              <w:rPr>
                <w:rFonts w:ascii="Times New Roman" w:cs="Times New Roman" w:eastAsia="Times New Roman" w:hAnsi="Times New Roman"/>
                <w:sz w:val="7"/>
                <w:szCs w:val="7"/>
                <w:b w:val="1"/>
                <w:bCs w:val="1"/>
                <w:color w:val="auto"/>
              </w:rPr>
              <w:t>(13,837</w:t>
            </w:r>
          </w:p>
        </w:tc>
        <w:tc>
          <w:tcPr>
            <w:tcW w:w="1320" w:type="dxa"/>
            <w:vAlign w:val="bottom"/>
            <w:gridSpan w:val="2"/>
            <w:vMerge w:val="continue"/>
          </w:tcPr>
          <w:p>
            <w:pPr>
              <w:spacing w:after="0"/>
              <w:rPr>
                <w:sz w:val="6"/>
                <w:szCs w:val="6"/>
                <w:color w:val="auto"/>
              </w:rPr>
            </w:pPr>
          </w:p>
        </w:tc>
        <w:tc>
          <w:tcPr>
            <w:tcW w:w="1220" w:type="dxa"/>
            <w:vAlign w:val="bottom"/>
            <w:gridSpan w:val="2"/>
          </w:tcPr>
          <w:p>
            <w:pPr>
              <w:jc w:val="right"/>
              <w:ind w:right="21"/>
              <w:spacing w:after="0" w:line="68" w:lineRule="exact"/>
              <w:rPr>
                <w:sz w:val="20"/>
                <w:szCs w:val="20"/>
                <w:color w:val="auto"/>
              </w:rPr>
            </w:pPr>
            <w:r>
              <w:rPr>
                <w:rFonts w:ascii="Times New Roman" w:cs="Times New Roman" w:eastAsia="Times New Roman" w:hAnsi="Times New Roman"/>
                <w:sz w:val="7"/>
                <w:szCs w:val="7"/>
                <w:b w:val="1"/>
                <w:bCs w:val="1"/>
                <w:color w:val="auto"/>
              </w:rPr>
              <w:t>(42,126</w:t>
            </w:r>
          </w:p>
        </w:tc>
        <w:tc>
          <w:tcPr>
            <w:tcW w:w="0" w:type="dxa"/>
            <w:vAlign w:val="bottom"/>
          </w:tcPr>
          <w:p>
            <w:pPr>
              <w:spacing w:after="0"/>
              <w:rPr>
                <w:sz w:val="1"/>
                <w:szCs w:val="1"/>
                <w:color w:val="auto"/>
              </w:rPr>
            </w:pPr>
          </w:p>
        </w:tc>
      </w:tr>
      <w:tr>
        <w:trPr>
          <w:trHeight w:val="655"/>
        </w:trPr>
        <w:tc>
          <w:tcPr>
            <w:tcW w:w="328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80" w:type="dxa"/>
            <w:vAlign w:val="bottom"/>
            <w:tcBorders>
              <w:bottom w:val="single" w:sz="8" w:color="auto"/>
            </w:tcBorders>
            <w:gridSpan w:val="7"/>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2024</w:t>
            </w:r>
          </w:p>
        </w:tc>
        <w:tc>
          <w:tcPr>
            <w:tcW w:w="10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3"/>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VIEs and</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8"/>
              </w:rPr>
              <w:t>Yimutian</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VIEs’</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Eliminating</w:t>
            </w: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45"/>
        </w:trPr>
        <w:tc>
          <w:tcPr>
            <w:tcW w:w="3280" w:type="dxa"/>
            <w:vAlign w:val="bottom"/>
          </w:tcPr>
          <w:p>
            <w:pPr>
              <w:spacing w:after="0"/>
              <w:rPr>
                <w:sz w:val="21"/>
                <w:szCs w:val="21"/>
                <w:color w:val="auto"/>
              </w:rPr>
            </w:pPr>
          </w:p>
        </w:tc>
        <w:tc>
          <w:tcPr>
            <w:tcW w:w="13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4"/>
              </w:rPr>
              <w:t>Inc.</w:t>
            </w:r>
          </w:p>
        </w:tc>
        <w:tc>
          <w:tcPr>
            <w:tcW w:w="136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WFOE</w:t>
            </w:r>
          </w:p>
        </w:tc>
        <w:tc>
          <w:tcPr>
            <w:tcW w:w="13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2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totals</w:t>
            </w:r>
          </w:p>
        </w:tc>
      </w:tr>
      <w:tr>
        <w:trPr>
          <w:trHeight w:val="216"/>
        </w:trPr>
        <w:tc>
          <w:tcPr>
            <w:tcW w:w="3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(RMB in thousands)</w:t>
            </w: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28,350</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160,176</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(28,302)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161,321</w:t>
            </w: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(2,826)</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(59)</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(27,688)</w:t>
            </w:r>
          </w:p>
        </w:tc>
        <w:tc>
          <w:tcPr>
            <w:tcW w:w="40" w:type="dxa"/>
            <w:vAlign w:val="bottom"/>
          </w:tcPr>
          <w:p>
            <w:pPr>
              <w:spacing w:after="0"/>
              <w:rPr>
                <w:sz w:val="20"/>
                <w:szCs w:val="20"/>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(30,573)</w:t>
            </w:r>
          </w:p>
        </w:tc>
      </w:tr>
      <w:tr>
        <w:trPr>
          <w:trHeight w:val="236"/>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25,524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132,488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(28,302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130,748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71"/>
        </w:trPr>
        <w:tc>
          <w:tcPr>
            <w:tcW w:w="328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Selling and marketing expenses, general</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administrative expenses and research</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development expenses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w:t>
            </w: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(33,194)</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(8,578)</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(151,494)</w:t>
            </w:r>
          </w:p>
        </w:tc>
        <w:tc>
          <w:tcPr>
            <w:tcW w:w="40" w:type="dxa"/>
            <w:vAlign w:val="bottom"/>
          </w:tcPr>
          <w:p>
            <w:pPr>
              <w:spacing w:after="0"/>
              <w:rPr>
                <w:sz w:val="20"/>
                <w:szCs w:val="20"/>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28,302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(164,993)</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66</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r>
      <w:tr>
        <w:trPr>
          <w:trHeight w:val="24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(481)</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(483)</w:t>
            </w:r>
          </w:p>
        </w:tc>
        <w:tc>
          <w:tcPr>
            <w:tcW w:w="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167"/>
        </w:trPr>
        <w:tc>
          <w:tcPr>
            <w:tcW w:w="328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Loss before income taxes and share of</w:t>
            </w:r>
          </w:p>
        </w:tc>
        <w:tc>
          <w:tcPr>
            <w:tcW w:w="11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38"/>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loss of equity method investment</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(40)</w:t>
            </w: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(7,603)</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(7,869)</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(19,467)</w:t>
            </w:r>
          </w:p>
        </w:tc>
        <w:tc>
          <w:tcPr>
            <w:tcW w:w="40" w:type="dxa"/>
            <w:vAlign w:val="bottom"/>
          </w:tcPr>
          <w:p>
            <w:pPr>
              <w:spacing w:after="0"/>
              <w:rPr>
                <w:sz w:val="20"/>
                <w:szCs w:val="20"/>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(34,979)</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 of income/(loss) of an equity method</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5"/>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1,703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(1,665)</w:t>
            </w:r>
          </w:p>
        </w:tc>
        <w:tc>
          <w:tcPr>
            <w:tcW w:w="40" w:type="dxa"/>
            <w:vAlign w:val="bottom"/>
          </w:tcPr>
          <w:p>
            <w:pPr>
              <w:spacing w:after="0"/>
              <w:rPr>
                <w:sz w:val="22"/>
                <w:szCs w:val="22"/>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(7,603)</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(21,132)</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(34,941)</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non-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5"/>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controlling interests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2"/>
                <w:szCs w:val="22"/>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Yimutian Inc</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(7,603</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(6,135</w:t>
            </w:r>
          </w:p>
        </w:tc>
        <w:tc>
          <w:tcPr>
            <w:tcW w:w="220" w:type="dxa"/>
            <w:vAlign w:val="bottom"/>
            <w:tcBorders>
              <w:top w:val="single" w:sz="8" w:color="CCEEFF"/>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(21,122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2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7"/>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2023</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3"/>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VIEs and</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8"/>
              </w:rPr>
              <w:t>Yimutian</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VIEs’</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Eliminating</w:t>
            </w: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45"/>
        </w:trPr>
        <w:tc>
          <w:tcPr>
            <w:tcW w:w="3280" w:type="dxa"/>
            <w:vAlign w:val="bottom"/>
          </w:tcPr>
          <w:p>
            <w:pPr>
              <w:spacing w:after="0"/>
              <w:rPr>
                <w:sz w:val="21"/>
                <w:szCs w:val="21"/>
                <w:color w:val="auto"/>
              </w:rPr>
            </w:pPr>
          </w:p>
        </w:tc>
        <w:tc>
          <w:tcPr>
            <w:tcW w:w="13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4"/>
              </w:rPr>
              <w:t>Inc.</w:t>
            </w:r>
          </w:p>
        </w:tc>
        <w:tc>
          <w:tcPr>
            <w:tcW w:w="136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WFOE</w:t>
            </w:r>
          </w:p>
        </w:tc>
        <w:tc>
          <w:tcPr>
            <w:tcW w:w="13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2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totals</w:t>
            </w:r>
          </w:p>
        </w:tc>
      </w:tr>
      <w:tr>
        <w:trPr>
          <w:trHeight w:val="216"/>
        </w:trPr>
        <w:tc>
          <w:tcPr>
            <w:tcW w:w="3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(RMB in thousands)</w:t>
            </w: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28,302</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187,082</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(28,302)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187,523</w:t>
            </w: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(5,008)</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(246)</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(43,994)</w:t>
            </w:r>
          </w:p>
        </w:tc>
        <w:tc>
          <w:tcPr>
            <w:tcW w:w="40" w:type="dxa"/>
            <w:vAlign w:val="bottom"/>
          </w:tcPr>
          <w:p>
            <w:pPr>
              <w:spacing w:after="0"/>
              <w:rPr>
                <w:sz w:val="20"/>
                <w:szCs w:val="20"/>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(49,248)</w:t>
            </w:r>
          </w:p>
        </w:tc>
      </w:tr>
      <w:tr>
        <w:trPr>
          <w:trHeight w:val="236"/>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23,294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143,088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(28,302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138,275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71"/>
        </w:trPr>
        <w:tc>
          <w:tcPr>
            <w:tcW w:w="328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Selling and marketing expenses, general</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administrative expenses and research</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development expenses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(9,756)</w:t>
            </w: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(46,227)</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(7,154)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(203,977)</w:t>
            </w:r>
          </w:p>
        </w:tc>
        <w:tc>
          <w:tcPr>
            <w:tcW w:w="40" w:type="dxa"/>
            <w:vAlign w:val="bottom"/>
          </w:tcPr>
          <w:p>
            <w:pPr>
              <w:spacing w:after="0"/>
              <w:rPr>
                <w:sz w:val="20"/>
                <w:szCs w:val="20"/>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28,302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(238,812)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292</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524</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823</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(147)</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financial liabilities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(3,728)</w:t>
            </w:r>
          </w:p>
        </w:tc>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(3,728)</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from derecognition of financial</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8"/>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(1,953)</w:t>
            </w: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167"/>
        </w:trPr>
        <w:tc>
          <w:tcPr>
            <w:tcW w:w="328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Loss before income taxes and share of</w:t>
            </w:r>
          </w:p>
        </w:tc>
        <w:tc>
          <w:tcPr>
            <w:tcW w:w="11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38"/>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loss of equity method investment</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(15,433)</w:t>
            </w: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(22,639)</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(7,016)</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(60,495)</w:t>
            </w:r>
          </w:p>
        </w:tc>
        <w:tc>
          <w:tcPr>
            <w:tcW w:w="40" w:type="dxa"/>
            <w:vAlign w:val="bottom"/>
          </w:tcPr>
          <w:p>
            <w:pPr>
              <w:spacing w:after="0"/>
              <w:rPr>
                <w:sz w:val="20"/>
                <w:szCs w:val="20"/>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(105,583)</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 of loss of an equity method</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5"/>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22"/>
                <w:szCs w:val="22"/>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(15,433)</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(22,639)</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(60,533)</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(105,621)</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non-controlling</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5"/>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22"/>
                <w:szCs w:val="22"/>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Yimutian Inc</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(15,433</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(22,639</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(7,013</w:t>
            </w:r>
          </w:p>
        </w:tc>
        <w:tc>
          <w:tcPr>
            <w:tcW w:w="220" w:type="dxa"/>
            <w:vAlign w:val="bottom"/>
            <w:tcBorders>
              <w:top w:val="single" w:sz="8" w:color="CCEEFF"/>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(60,525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(105,610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655"/>
        </w:trPr>
        <w:tc>
          <w:tcPr>
            <w:tcW w:w="3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Consolidating Balance Sheets Information</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2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As of December 31, 2025</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141"/>
              <w:spacing w:after="0" w:line="194" w:lineRule="exact"/>
              <w:rPr>
                <w:sz w:val="20"/>
                <w:szCs w:val="20"/>
                <w:color w:val="auto"/>
              </w:rPr>
            </w:pPr>
            <w:r>
              <w:rPr>
                <w:rFonts w:ascii="Times New Roman" w:cs="Times New Roman" w:eastAsia="Times New Roman" w:hAnsi="Times New Roman"/>
                <w:sz w:val="18"/>
                <w:szCs w:val="18"/>
                <w:b w:val="1"/>
                <w:bCs w:val="1"/>
                <w:color w:val="auto"/>
              </w:rPr>
              <w:t>VIEs and</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5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Yimutian</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VIEs’</w:t>
            </w: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Eliminating</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5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4"/>
              </w:rPr>
              <w:t>Inc.</w:t>
            </w:r>
          </w:p>
        </w:tc>
        <w:tc>
          <w:tcPr>
            <w:tcW w:w="120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WFOE</w:t>
            </w:r>
          </w:p>
        </w:tc>
        <w:tc>
          <w:tcPr>
            <w:tcW w:w="13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2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0" w:type="dxa"/>
            <w:vAlign w:val="bottom"/>
          </w:tcPr>
          <w:p>
            <w:pPr>
              <w:spacing w:after="0"/>
              <w:rPr>
                <w:sz w:val="1"/>
                <w:szCs w:val="1"/>
                <w:color w:val="auto"/>
              </w:rPr>
            </w:pPr>
          </w:p>
        </w:tc>
      </w:tr>
      <w:tr>
        <w:trPr>
          <w:trHeight w:val="238"/>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680" w:type="dxa"/>
            <w:vAlign w:val="bottom"/>
            <w:tcBorders>
              <w:top w:val="single" w:sz="8" w:color="auto"/>
            </w:tcBorders>
            <w:gridSpan w:val="4"/>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(RMB in thousands)</w:t>
            </w:r>
          </w:p>
        </w:tc>
        <w:tc>
          <w:tcPr>
            <w:tcW w:w="1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106,297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134</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109,486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5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945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3,357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3,357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Due from shareholders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256,794</w:t>
            </w:r>
          </w:p>
        </w:tc>
        <w:tc>
          <w:tcPr>
            <w:tcW w:w="16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(256,794)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Intercompany receivable from Yimutian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w:t>
            </w:r>
          </w:p>
        </w:tc>
        <w:tc>
          <w:tcPr>
            <w:tcW w:w="15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5,394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(5,394)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receivable from WFOE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30,300</w:t>
            </w:r>
          </w:p>
        </w:tc>
        <w:tc>
          <w:tcPr>
            <w:tcW w:w="16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11,527</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(41,827)</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2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Intercompany receivable from other</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8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subsidiaries</w:t>
            </w:r>
            <w:r>
              <w:rPr>
                <w:rFonts w:ascii="Times New Roman" w:cs="Times New Roman" w:eastAsia="Times New Roman" w:hAnsi="Times New Roman"/>
                <w:sz w:val="29"/>
                <w:szCs w:val="29"/>
                <w:color w:val="auto"/>
                <w:vertAlign w:val="superscript"/>
              </w:rPr>
              <w:t>(3)</w:t>
            </w:r>
          </w:p>
        </w:tc>
        <w:tc>
          <w:tcPr>
            <w:tcW w:w="15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14,414</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(14,414)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2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Intercompany receivable from VIEs and</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8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VIEs subsidiaries</w:t>
            </w:r>
            <w:r>
              <w:rPr>
                <w:rFonts w:ascii="Times New Roman" w:cs="Times New Roman" w:eastAsia="Times New Roman" w:hAnsi="Times New Roman"/>
                <w:sz w:val="29"/>
                <w:szCs w:val="29"/>
                <w:color w:val="auto"/>
                <w:vertAlign w:val="superscript"/>
              </w:rPr>
              <w:t>(4)</w:t>
            </w:r>
          </w:p>
        </w:tc>
        <w:tc>
          <w:tcPr>
            <w:tcW w:w="15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98,644</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28,196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(126,840)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6,827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344</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7,170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23,685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38,026</w:t>
            </w: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5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2,301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2,301</w:t>
            </w:r>
          </w:p>
        </w:tc>
        <w:tc>
          <w:tcPr>
            <w:tcW w:w="0" w:type="dxa"/>
            <w:vAlign w:val="bottom"/>
          </w:tcPr>
          <w:p>
            <w:pPr>
              <w:spacing w:after="0"/>
              <w:rPr>
                <w:sz w:val="1"/>
                <w:szCs w:val="1"/>
                <w:color w:val="auto"/>
              </w:rPr>
            </w:pPr>
          </w:p>
        </w:tc>
      </w:tr>
      <w:tr>
        <w:trPr>
          <w:trHeight w:val="236"/>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403,575</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113,536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37,197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45,076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(445,269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154,115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Property and equipment, net.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505</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276</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5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516</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2,078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3,635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463,555</w:t>
            </w:r>
          </w:p>
        </w:tc>
        <w:tc>
          <w:tcPr>
            <w:tcW w:w="16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1,800</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450,012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(915,367)</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5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298</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2,150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2,569</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463,555</w:t>
            </w:r>
          </w:p>
        </w:tc>
        <w:tc>
          <w:tcPr>
            <w:tcW w:w="2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2,615</w:t>
            </w:r>
          </w:p>
        </w:tc>
        <w:tc>
          <w:tcPr>
            <w:tcW w:w="2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451,679</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4,504</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(915,367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6,986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867,130</w:t>
            </w: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116,151</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488,876</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49,580</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(1,360,636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161,101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328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LIABILITIES AND</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EQUITY/(DEFICIT)</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5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40</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4,988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5,214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15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75,718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75,718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Bank loans</w:t>
            </w:r>
          </w:p>
        </w:tc>
        <w:tc>
          <w:tcPr>
            <w:tcW w:w="15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7,000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10,375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17,375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18,449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18,449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24,949</w:t>
            </w:r>
          </w:p>
        </w:tc>
        <w:tc>
          <w:tcPr>
            <w:tcW w:w="16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24,949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loans, at amortized cost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232,715</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35,000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(202,364)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66,404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3,511</w:t>
            </w:r>
          </w:p>
        </w:tc>
        <w:tc>
          <w:tcPr>
            <w:tcW w:w="16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3,511</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Intercompany payable to</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Yimutian Inc.</w:t>
            </w:r>
          </w:p>
        </w:tc>
        <w:tc>
          <w:tcPr>
            <w:tcW w:w="15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28,625</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50,884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(79,509)</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2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Intercompany payable to WFOE</w:t>
            </w:r>
            <w:r>
              <w:rPr>
                <w:rFonts w:ascii="Times New Roman" w:cs="Times New Roman" w:eastAsia="Times New Roman" w:hAnsi="Times New Roman"/>
                <w:sz w:val="29"/>
                <w:szCs w:val="29"/>
                <w:color w:val="auto"/>
                <w:vertAlign w:val="superscript"/>
              </w:rPr>
              <w:t>(6)</w:t>
            </w:r>
          </w:p>
        </w:tc>
        <w:tc>
          <w:tcPr>
            <w:tcW w:w="15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14,414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98,644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(113,058)</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2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Intercompany payable to other</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8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subsidiaries</w:t>
            </w:r>
            <w:r>
              <w:rPr>
                <w:rFonts w:ascii="Times New Roman" w:cs="Times New Roman" w:eastAsia="Times New Roman" w:hAnsi="Times New Roman"/>
                <w:sz w:val="29"/>
                <w:szCs w:val="29"/>
                <w:color w:val="auto"/>
                <w:vertAlign w:val="superscript"/>
              </w:rPr>
              <w:t>(7)</w:t>
            </w:r>
          </w:p>
        </w:tc>
        <w:tc>
          <w:tcPr>
            <w:tcW w:w="15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28,196</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(28,196)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2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Intercompany payable to VIEs and VIEs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8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subsidiaries</w:t>
            </w:r>
            <w:r>
              <w:rPr>
                <w:rFonts w:ascii="Times New Roman" w:cs="Times New Roman" w:eastAsia="Times New Roman" w:hAnsi="Times New Roman"/>
                <w:sz w:val="29"/>
                <w:szCs w:val="29"/>
                <w:color w:val="auto"/>
                <w:vertAlign w:val="superscript"/>
              </w:rPr>
              <w:t>(8)</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5,394</w:t>
            </w:r>
          </w:p>
        </w:tc>
        <w:tc>
          <w:tcPr>
            <w:tcW w:w="160" w:type="dxa"/>
            <w:vAlign w:val="bottom"/>
          </w:tcPr>
          <w:p>
            <w:pPr>
              <w:spacing w:after="0"/>
              <w:rPr>
                <w:sz w:val="23"/>
                <w:szCs w:val="23"/>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11,527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(16,921)</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24,390</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25,284</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45,379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95,913</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5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342</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563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1,414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2,319</w:t>
            </w:r>
          </w:p>
        </w:tc>
        <w:tc>
          <w:tcPr>
            <w:tcW w:w="0" w:type="dxa"/>
            <w:vAlign w:val="bottom"/>
          </w:tcPr>
          <w:p>
            <w:pPr>
              <w:spacing w:after="0"/>
              <w:rPr>
                <w:sz w:val="1"/>
                <w:szCs w:val="1"/>
                <w:color w:val="auto"/>
              </w:rPr>
            </w:pPr>
          </w:p>
        </w:tc>
      </w:tr>
      <w:tr>
        <w:trPr>
          <w:trHeight w:val="236"/>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77,746</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287,006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34,550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350,598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(440,048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309,852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Contract liabilities, non-current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13,104</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13,104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5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364</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13,104</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13,468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77,746</w:t>
            </w: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287,006</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34,914</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363,702</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(440,048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323,320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328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Total Yimutian Inc. shareholders’</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equity/(deficit)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789,384</w:t>
            </w:r>
          </w:p>
        </w:tc>
        <w:tc>
          <w:tcPr>
            <w:tcW w:w="160" w:type="dxa"/>
            <w:vAlign w:val="bottom"/>
          </w:tcPr>
          <w:p>
            <w:pPr>
              <w:spacing w:after="0"/>
              <w:rPr>
                <w:sz w:val="22"/>
                <w:szCs w:val="22"/>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(170,855)</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454,724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(314,122)</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(950,559)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(191,428)</w:t>
            </w:r>
          </w:p>
        </w:tc>
        <w:tc>
          <w:tcPr>
            <w:tcW w:w="0" w:type="dxa"/>
            <w:vAlign w:val="bottom"/>
          </w:tcPr>
          <w:p>
            <w:pPr>
              <w:spacing w:after="0"/>
              <w:rPr>
                <w:sz w:val="1"/>
                <w:szCs w:val="1"/>
                <w:color w:val="auto"/>
              </w:rPr>
            </w:pPr>
          </w:p>
        </w:tc>
      </w:tr>
      <w:tr>
        <w:trPr>
          <w:trHeight w:val="236"/>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c>
          <w:tcPr>
            <w:tcW w:w="220" w:type="dxa"/>
            <w:vAlign w:val="bottom"/>
            <w:tcBorders>
              <w:top w:val="single" w:sz="8" w:color="CCEEFF"/>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29,971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equity/(deficit)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789,384</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(170,855</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453,962</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(314,122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(920,588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(162,219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867,130</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116,151</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488,876</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49,580</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(1,360,636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161,101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55"/>
        </w:trPr>
        <w:tc>
          <w:tcPr>
            <w:tcW w:w="3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VIEs and</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4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Yimutian</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4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VIEs’</w:t>
            </w:r>
          </w:p>
        </w:tc>
        <w:tc>
          <w:tcPr>
            <w:tcW w:w="13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Eliminating</w:t>
            </w: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1"/>
                <w:szCs w:val="21"/>
                <w:color w:val="auto"/>
              </w:rPr>
            </w:pPr>
          </w:p>
        </w:tc>
        <w:tc>
          <w:tcPr>
            <w:tcW w:w="1440" w:type="dxa"/>
            <w:vAlign w:val="bottom"/>
            <w:gridSpan w:val="2"/>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Inc.</w:t>
            </w:r>
          </w:p>
        </w:tc>
        <w:tc>
          <w:tcPr>
            <w:tcW w:w="138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WFOE</w:t>
            </w: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44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2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0" w:type="dxa"/>
            <w:vAlign w:val="bottom"/>
          </w:tcPr>
          <w:p>
            <w:pPr>
              <w:spacing w:after="0"/>
              <w:rPr>
                <w:sz w:val="1"/>
                <w:szCs w:val="1"/>
                <w:color w:val="auto"/>
              </w:rPr>
            </w:pPr>
          </w:p>
        </w:tc>
      </w:tr>
      <w:tr>
        <w:trPr>
          <w:trHeight w:val="238"/>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760" w:type="dxa"/>
            <w:vAlign w:val="bottom"/>
            <w:tcBorders>
              <w:top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(RMB in thousands)</w:t>
            </w:r>
          </w:p>
        </w:tc>
        <w:tc>
          <w:tcPr>
            <w:tcW w:w="1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12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129</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995</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1,537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2,772</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730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3,436</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3,436</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Intercompany receivable from Yimutian</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5,394</w:t>
            </w:r>
            <w:r>
              <w:rPr>
                <w:rFonts w:ascii="Times New Roman" w:cs="Times New Roman" w:eastAsia="Times New Roman" w:hAnsi="Times New Roman"/>
                <w:sz w:val="29"/>
                <w:szCs w:val="29"/>
                <w:color w:val="auto"/>
                <w:vertAlign w:val="superscript"/>
              </w:rPr>
              <w:t>(1)</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w:t>
            </w: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continue"/>
          </w:tcPr>
          <w:p>
            <w:pPr>
              <w:spacing w:after="0"/>
              <w:rPr>
                <w:sz w:val="20"/>
                <w:szCs w:val="20"/>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(5,394)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receivable from WFOE</w:t>
            </w:r>
          </w:p>
        </w:tc>
        <w:tc>
          <w:tcPr>
            <w:tcW w:w="1440" w:type="dxa"/>
            <w:vAlign w:val="bottom"/>
            <w:gridSpan w:val="2"/>
            <w:shd w:val="clear" w:color="auto" w:fill="CCEEFF"/>
          </w:tcPr>
          <w:p>
            <w:pPr>
              <w:jc w:val="right"/>
              <w:ind w:right="81"/>
              <w:spacing w:after="0" w:line="256" w:lineRule="exact"/>
              <w:rPr>
                <w:sz w:val="20"/>
                <w:szCs w:val="20"/>
                <w:color w:val="auto"/>
              </w:rPr>
            </w:pPr>
            <w:r>
              <w:rPr>
                <w:rFonts w:ascii="Times New Roman" w:cs="Times New Roman" w:eastAsia="Times New Roman" w:hAnsi="Times New Roman"/>
                <w:sz w:val="18"/>
                <w:szCs w:val="18"/>
                <w:color w:val="auto"/>
              </w:rPr>
              <w:t>31,014</w:t>
            </w:r>
            <w:r>
              <w:rPr>
                <w:rFonts w:ascii="Times New Roman" w:cs="Times New Roman" w:eastAsia="Times New Roman" w:hAnsi="Times New Roman"/>
                <w:sz w:val="29"/>
                <w:szCs w:val="29"/>
                <w:color w:val="auto"/>
                <w:vertAlign w:val="superscript"/>
              </w:rPr>
              <w:t>(2)</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(31,014)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Intercompany receivable from other</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2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subsidiaries</w:t>
            </w:r>
            <w:r>
              <w:rPr>
                <w:rFonts w:ascii="Times New Roman" w:cs="Times New Roman" w:eastAsia="Times New Roman" w:hAnsi="Times New Roman"/>
                <w:sz w:val="29"/>
                <w:szCs w:val="29"/>
                <w:color w:val="auto"/>
                <w:vertAlign w:val="superscript"/>
              </w:rPr>
              <w:t>(3)</w:t>
            </w: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12,386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10,898</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(23,284)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Intercompany receivable from VIEs and</w:t>
            </w: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2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VIEs subsidiaries</w:t>
            </w:r>
            <w:r>
              <w:rPr>
                <w:rFonts w:ascii="Times New Roman" w:cs="Times New Roman" w:eastAsia="Times New Roman" w:hAnsi="Times New Roman"/>
                <w:sz w:val="29"/>
                <w:szCs w:val="29"/>
                <w:color w:val="auto"/>
                <w:vertAlign w:val="superscript"/>
              </w:rPr>
              <w:t>(4)</w:t>
            </w: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75,840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28,900</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(104,740)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10,960</w:t>
            </w: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507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5,383</w:t>
            </w:r>
          </w:p>
        </w:tc>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23,190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40,040</w:t>
            </w:r>
          </w:p>
        </w:tc>
        <w:tc>
          <w:tcPr>
            <w:tcW w:w="0" w:type="dxa"/>
            <w:vAlign w:val="bottom"/>
          </w:tcPr>
          <w:p>
            <w:pPr>
              <w:spacing w:after="0"/>
              <w:rPr>
                <w:sz w:val="1"/>
                <w:szCs w:val="1"/>
                <w:color w:val="auto"/>
              </w:rPr>
            </w:pPr>
          </w:p>
        </w:tc>
      </w:tr>
      <w:tr>
        <w:trPr>
          <w:trHeight w:val="24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210</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3"/>
        </w:trPr>
        <w:tc>
          <w:tcPr>
            <w:tcW w:w="31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45,539</w:t>
            </w:r>
          </w:p>
        </w:tc>
        <w:tc>
          <w:tcPr>
            <w:tcW w:w="3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88,844</w:t>
            </w:r>
          </w:p>
        </w:tc>
        <w:tc>
          <w:tcPr>
            <w:tcW w:w="28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35,491</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41,776</w:t>
            </w:r>
          </w:p>
        </w:tc>
        <w:tc>
          <w:tcPr>
            <w:tcW w:w="3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(164,432)</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47,218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1,021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1,394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1,745</w:t>
            </w:r>
          </w:p>
        </w:tc>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6,450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9,589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455,976</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1,800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443,946</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(901,722)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298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w:t>
            </w:r>
          </w:p>
        </w:tc>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2,782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3,156</w:t>
            </w:r>
          </w:p>
        </w:tc>
        <w:tc>
          <w:tcPr>
            <w:tcW w:w="0" w:type="dxa"/>
            <w:vAlign w:val="bottom"/>
          </w:tcPr>
          <w:p>
            <w:pPr>
              <w:spacing w:after="0"/>
              <w:rPr>
                <w:sz w:val="1"/>
                <w:szCs w:val="1"/>
                <w:color w:val="auto"/>
              </w:rPr>
            </w:pPr>
          </w:p>
        </w:tc>
      </w:tr>
      <w:tr>
        <w:trPr>
          <w:trHeight w:val="236"/>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455,976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3,496</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445,802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10,253</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(901,722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501,515</w:t>
            </w:r>
          </w:p>
        </w:tc>
        <w:tc>
          <w:tcPr>
            <w:tcW w:w="3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92,340</w:t>
            </w:r>
          </w:p>
        </w:tc>
        <w:tc>
          <w:tcPr>
            <w:tcW w:w="2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481,293</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52,029</w:t>
            </w:r>
          </w:p>
        </w:tc>
        <w:tc>
          <w:tcPr>
            <w:tcW w:w="3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(1,066,154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61,023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LIABILITIES AND</w:t>
            </w: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98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223</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4,077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4,398</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w:t>
            </w:r>
          </w:p>
        </w:tc>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87,989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88,103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loans</w:t>
            </w: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5,000</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5,000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20,990</w:t>
            </w: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20,990</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loans, at amortized cost</w:t>
            </w: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1,078</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212,565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35,000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248,643</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3,594</w:t>
            </w: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9,485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13,079</w:t>
            </w:r>
          </w:p>
        </w:tc>
        <w:tc>
          <w:tcPr>
            <w:tcW w:w="0" w:type="dxa"/>
            <w:vAlign w:val="bottom"/>
          </w:tcPr>
          <w:p>
            <w:pPr>
              <w:spacing w:after="0"/>
              <w:rPr>
                <w:sz w:val="1"/>
                <w:szCs w:val="1"/>
                <w:color w:val="auto"/>
              </w:rPr>
            </w:pPr>
          </w:p>
        </w:tc>
      </w:tr>
      <w:tr>
        <w:trPr>
          <w:trHeight w:val="15"/>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Intercompany payable to Yimutian Inc.</w:t>
            </w: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
                <w:szCs w:val="1"/>
                <w:color w:val="auto"/>
              </w:rPr>
              <w:t>—</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
                <w:szCs w:val="1"/>
                <w:color w:val="auto"/>
              </w:rPr>
              <w:t>28,625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
                <w:szCs w:val="1"/>
                <w:color w:val="auto"/>
              </w:rPr>
              <w:t>—</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
                <w:szCs w:val="1"/>
                <w:color w:val="auto"/>
              </w:rPr>
              <w:t>50,884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
                <w:szCs w:val="1"/>
                <w:color w:val="auto"/>
              </w:rPr>
              <w:t>(79,509)</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01"/>
        </w:trPr>
        <w:tc>
          <w:tcPr>
            <w:tcW w:w="3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5"/>
                <w:szCs w:val="15"/>
                <w:color w:val="auto"/>
              </w:rPr>
              <w:t>(2)</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5"/>
                <w:szCs w:val="15"/>
                <w:color w:val="auto"/>
              </w:rPr>
              <w:t>(5)</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1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Intercompany payable to WFOE</w:t>
            </w:r>
            <w:r>
              <w:rPr>
                <w:rFonts w:ascii="Times New Roman" w:cs="Times New Roman" w:eastAsia="Times New Roman" w:hAnsi="Times New Roman"/>
                <w:sz w:val="29"/>
                <w:szCs w:val="29"/>
                <w:color w:val="auto"/>
                <w:vertAlign w:val="superscript"/>
              </w:rPr>
              <w:t>(6)</w:t>
            </w: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12,386</w:t>
            </w:r>
          </w:p>
        </w:tc>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75,840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(88,226)</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Intercompany payable to other</w:t>
            </w: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2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subsidiaries</w:t>
            </w:r>
            <w:r>
              <w:rPr>
                <w:rFonts w:ascii="Times New Roman" w:cs="Times New Roman" w:eastAsia="Times New Roman" w:hAnsi="Times New Roman"/>
                <w:sz w:val="29"/>
                <w:szCs w:val="29"/>
                <w:color w:val="auto"/>
                <w:vertAlign w:val="superscript"/>
              </w:rPr>
              <w:t>(7)</w:t>
            </w: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28,900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(28,900)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Intercompany payable to VIEs and VIEs</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2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subsidiaries</w:t>
            </w:r>
            <w:r>
              <w:rPr>
                <w:rFonts w:ascii="Times New Roman" w:cs="Times New Roman" w:eastAsia="Times New Roman" w:hAnsi="Times New Roman"/>
                <w:sz w:val="29"/>
                <w:szCs w:val="29"/>
                <w:color w:val="auto"/>
                <w:vertAlign w:val="superscript"/>
              </w:rPr>
              <w:t>(8)</w:t>
            </w: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5,394</w:t>
            </w: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10,898</w:t>
            </w:r>
          </w:p>
        </w:tc>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(16,292)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15,531</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26,480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1,041</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46,172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89,224</w:t>
            </w:r>
          </w:p>
        </w:tc>
        <w:tc>
          <w:tcPr>
            <w:tcW w:w="0" w:type="dxa"/>
            <w:vAlign w:val="bottom"/>
          </w:tcPr>
          <w:p>
            <w:pPr>
              <w:spacing w:after="0"/>
              <w:rPr>
                <w:sz w:val="1"/>
                <w:szCs w:val="1"/>
                <w:color w:val="auto"/>
              </w:rPr>
            </w:pPr>
          </w:p>
        </w:tc>
      </w:tr>
      <w:tr>
        <w:trPr>
          <w:trHeight w:val="23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718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629</w:t>
            </w:r>
          </w:p>
        </w:tc>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3,614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4,961</w:t>
            </w:r>
          </w:p>
        </w:tc>
        <w:tc>
          <w:tcPr>
            <w:tcW w:w="0" w:type="dxa"/>
            <w:vAlign w:val="bottom"/>
          </w:tcPr>
          <w:p>
            <w:pPr>
              <w:spacing w:after="0"/>
              <w:rPr>
                <w:sz w:val="1"/>
                <w:szCs w:val="1"/>
                <w:color w:val="auto"/>
              </w:rPr>
            </w:pPr>
          </w:p>
        </w:tc>
      </w:tr>
      <w:tr>
        <w:trPr>
          <w:trHeight w:val="236"/>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46,587</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277,971</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30,291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337,476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(212,927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479,398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Contract liabilities, non-current</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12,223</w:t>
            </w: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12,223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594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990</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2,458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4,042</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594</w:t>
            </w:r>
          </w:p>
        </w:tc>
        <w:tc>
          <w:tcPr>
            <w:tcW w:w="28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990</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14,681</w:t>
            </w:r>
          </w:p>
        </w:tc>
        <w:tc>
          <w:tcPr>
            <w:tcW w:w="3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16,265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46,587</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278,565</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31,281</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352,157</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(212,927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495,663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mezzanine equity</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1,303,041</w:t>
            </w:r>
          </w:p>
        </w:tc>
        <w:tc>
          <w:tcPr>
            <w:tcW w:w="3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1,303,041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Intercompany receivable from VIEs</w:t>
            </w: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and VIEs’ Subsidiaries for preferred</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3120" w:type="dxa"/>
            <w:vAlign w:val="bottom"/>
            <w:shd w:val="clear" w:color="auto" w:fill="CCEEFF"/>
          </w:tcPr>
          <w:p>
            <w:pPr>
              <w:ind w:left="180"/>
              <w:spacing w:after="0" w:line="288" w:lineRule="exact"/>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29"/>
                <w:szCs w:val="29"/>
                <w:b w:val="1"/>
                <w:bCs w:val="1"/>
                <w:color w:val="auto"/>
                <w:vertAlign w:val="superscript"/>
              </w:rPr>
              <w:t>(9)</w:t>
            </w: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54,429</w:t>
            </w: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(54,429)</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67"/>
        </w:trPr>
        <w:tc>
          <w:tcPr>
            <w:tcW w:w="312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Total shareholders’ Deficit (equity)</w:t>
            </w:r>
          </w:p>
        </w:tc>
        <w:tc>
          <w:tcPr>
            <w:tcW w:w="110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attributable to ordinary</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4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(902,542)</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(186,225)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450,043</w:t>
            </w:r>
          </w:p>
        </w:tc>
        <w:tc>
          <w:tcPr>
            <w:tcW w:w="14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(300,400)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(828,770)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(1,767,894)</w:t>
            </w:r>
          </w:p>
        </w:tc>
        <w:tc>
          <w:tcPr>
            <w:tcW w:w="0" w:type="dxa"/>
            <w:vAlign w:val="bottom"/>
          </w:tcPr>
          <w:p>
            <w:pPr>
              <w:spacing w:after="0"/>
              <w:rPr>
                <w:sz w:val="1"/>
                <w:szCs w:val="1"/>
                <w:color w:val="auto"/>
              </w:rPr>
            </w:pPr>
          </w:p>
        </w:tc>
      </w:tr>
      <w:tr>
        <w:trPr>
          <w:trHeight w:val="236"/>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29,972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Deficit (equity)</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(902,542</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(186,225</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450,012</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(300,128</w:t>
            </w:r>
          </w:p>
        </w:tc>
        <w:tc>
          <w:tcPr>
            <w:tcW w:w="3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(798,798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(1,737,681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Total liabilities, mezzanine equity and</w:t>
            </w: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501,515</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92,340</w:t>
            </w:r>
          </w:p>
        </w:tc>
        <w:tc>
          <w:tcPr>
            <w:tcW w:w="2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481,293</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52,029</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(1,066,154)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61,023</w:t>
            </w:r>
          </w:p>
        </w:tc>
        <w:tc>
          <w:tcPr>
            <w:tcW w:w="0" w:type="dxa"/>
            <w:vAlign w:val="bottom"/>
          </w:tcPr>
          <w:p>
            <w:pPr>
              <w:spacing w:after="0"/>
              <w:rPr>
                <w:sz w:val="1"/>
                <w:szCs w:val="1"/>
                <w:color w:val="auto"/>
              </w:rPr>
            </w:pPr>
          </w:p>
        </w:tc>
      </w:tr>
      <w:tr>
        <w:trPr>
          <w:trHeight w:val="27"/>
        </w:trPr>
        <w:tc>
          <w:tcPr>
            <w:tcW w:w="31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55"/>
        </w:trPr>
        <w:tc>
          <w:tcPr>
            <w:tcW w:w="3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7"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VIEs and</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Yimutian</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VIEs’</w:t>
            </w:r>
          </w:p>
        </w:tc>
        <w:tc>
          <w:tcPr>
            <w:tcW w:w="13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Eliminating</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Inc.</w:t>
            </w: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WFOE</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0" w:type="dxa"/>
            <w:vAlign w:val="bottom"/>
          </w:tcPr>
          <w:p>
            <w:pPr>
              <w:spacing w:after="0"/>
              <w:rPr>
                <w:sz w:val="1"/>
                <w:szCs w:val="1"/>
                <w:color w:val="auto"/>
              </w:rPr>
            </w:pPr>
          </w:p>
        </w:tc>
      </w:tr>
      <w:tr>
        <w:trPr>
          <w:trHeight w:val="238"/>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720" w:type="dxa"/>
            <w:vAlign w:val="bottom"/>
            <w:tcBorders>
              <w:top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(RMB in thousands)</w:t>
            </w:r>
          </w:p>
        </w:tc>
        <w:tc>
          <w:tcPr>
            <w:tcW w:w="1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2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3,231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3,386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11,311</w:t>
            </w: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Intercompany receivable from Yimutian</w:t>
            </w:r>
          </w:p>
        </w:tc>
        <w:tc>
          <w:tcPr>
            <w:tcW w:w="14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5,394</w:t>
            </w:r>
          </w:p>
        </w:tc>
        <w:tc>
          <w:tcPr>
            <w:tcW w:w="132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8"/>
                <w:szCs w:val="18"/>
                <w:color w:val="auto"/>
              </w:rPr>
              <w:t>(5,394)</w:t>
            </w: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
        </w:trPr>
        <w:tc>
          <w:tcPr>
            <w:tcW w:w="3200" w:type="dxa"/>
            <w:vAlign w:val="bottom"/>
          </w:tcPr>
          <w:p>
            <w:pPr>
              <w:ind w:left="180"/>
              <w:spacing w:after="0" w:line="34" w:lineRule="exact"/>
              <w:rPr>
                <w:sz w:val="20"/>
                <w:szCs w:val="20"/>
                <w:color w:val="auto"/>
              </w:rPr>
            </w:pPr>
            <w:r>
              <w:rPr>
                <w:rFonts w:ascii="Times New Roman" w:cs="Times New Roman" w:eastAsia="Times New Roman" w:hAnsi="Times New Roman"/>
                <w:sz w:val="3"/>
                <w:szCs w:val="3"/>
                <w:color w:val="auto"/>
              </w:rPr>
              <w:t>Inc.</w:t>
            </w:r>
          </w:p>
        </w:tc>
        <w:tc>
          <w:tcPr>
            <w:tcW w:w="1400" w:type="dxa"/>
            <w:vAlign w:val="bottom"/>
            <w:gridSpan w:val="2"/>
            <w:vMerge w:val="continue"/>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3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
        </w:trPr>
        <w:tc>
          <w:tcPr>
            <w:tcW w:w="3200" w:type="dxa"/>
            <w:vAlign w:val="bottom"/>
            <w:shd w:val="clear" w:color="auto" w:fill="CCEEFF"/>
          </w:tcPr>
          <w:p>
            <w:pPr>
              <w:spacing w:after="0" w:line="19" w:lineRule="exact"/>
              <w:rPr>
                <w:sz w:val="20"/>
                <w:szCs w:val="20"/>
                <w:color w:val="auto"/>
              </w:rPr>
            </w:pPr>
            <w:r>
              <w:rPr>
                <w:rFonts w:ascii="Times New Roman" w:cs="Times New Roman" w:eastAsia="Times New Roman" w:hAnsi="Times New Roman"/>
                <w:sz w:val="2"/>
                <w:szCs w:val="2"/>
                <w:color w:val="auto"/>
              </w:rPr>
              <w:t>Intercompany receivable from WFOE</w:t>
            </w:r>
          </w:p>
        </w:tc>
        <w:tc>
          <w:tcPr>
            <w:tcW w:w="1400" w:type="dxa"/>
            <w:vAlign w:val="bottom"/>
            <w:gridSpan w:val="2"/>
            <w:shd w:val="clear" w:color="auto" w:fill="CCEEFF"/>
          </w:tcPr>
          <w:p>
            <w:pPr>
              <w:jc w:val="right"/>
              <w:ind w:right="280"/>
              <w:spacing w:after="0" w:line="19" w:lineRule="exact"/>
              <w:rPr>
                <w:sz w:val="20"/>
                <w:szCs w:val="20"/>
                <w:color w:val="auto"/>
              </w:rPr>
            </w:pPr>
            <w:r>
              <w:rPr>
                <w:rFonts w:ascii="Times New Roman" w:cs="Times New Roman" w:eastAsia="Times New Roman" w:hAnsi="Times New Roman"/>
                <w:sz w:val="2"/>
                <w:szCs w:val="2"/>
                <w:color w:val="auto"/>
              </w:rPr>
              <w:t>30,558</w:t>
            </w:r>
          </w:p>
        </w:tc>
        <w:tc>
          <w:tcPr>
            <w:tcW w:w="1380" w:type="dxa"/>
            <w:vAlign w:val="bottom"/>
            <w:gridSpan w:val="2"/>
            <w:shd w:val="clear" w:color="auto" w:fill="CCEEFF"/>
          </w:tcPr>
          <w:p>
            <w:pPr>
              <w:jc w:val="right"/>
              <w:ind w:right="280"/>
              <w:spacing w:after="0" w:line="19" w:lineRule="exact"/>
              <w:rPr>
                <w:sz w:val="20"/>
                <w:szCs w:val="20"/>
                <w:color w:val="auto"/>
              </w:rPr>
            </w:pPr>
            <w:r>
              <w:rPr>
                <w:rFonts w:ascii="Times New Roman" w:cs="Times New Roman" w:eastAsia="Times New Roman" w:hAnsi="Times New Roman"/>
                <w:sz w:val="2"/>
                <w:szCs w:val="2"/>
                <w:color w:val="auto"/>
              </w:rPr>
              <w:t>—</w:t>
            </w:r>
          </w:p>
        </w:tc>
        <w:tc>
          <w:tcPr>
            <w:tcW w:w="1340" w:type="dxa"/>
            <w:vAlign w:val="bottom"/>
            <w:gridSpan w:val="2"/>
            <w:shd w:val="clear" w:color="auto" w:fill="CCEEFF"/>
          </w:tcPr>
          <w:p>
            <w:pPr>
              <w:jc w:val="right"/>
              <w:ind w:right="220"/>
              <w:spacing w:after="0" w:line="19" w:lineRule="exact"/>
              <w:rPr>
                <w:sz w:val="20"/>
                <w:szCs w:val="20"/>
                <w:color w:val="auto"/>
              </w:rPr>
            </w:pPr>
            <w:r>
              <w:rPr>
                <w:rFonts w:ascii="Times New Roman" w:cs="Times New Roman" w:eastAsia="Times New Roman" w:hAnsi="Times New Roman"/>
                <w:sz w:val="2"/>
                <w:szCs w:val="2"/>
                <w:color w:val="auto"/>
              </w:rPr>
              <w:t>—</w:t>
            </w:r>
          </w:p>
        </w:tc>
        <w:tc>
          <w:tcPr>
            <w:tcW w:w="1380" w:type="dxa"/>
            <w:vAlign w:val="bottom"/>
            <w:gridSpan w:val="2"/>
            <w:shd w:val="clear" w:color="auto" w:fill="CCEEFF"/>
          </w:tcPr>
          <w:p>
            <w:pPr>
              <w:jc w:val="right"/>
              <w:ind w:right="280"/>
              <w:spacing w:after="0" w:line="19" w:lineRule="exact"/>
              <w:rPr>
                <w:sz w:val="20"/>
                <w:szCs w:val="20"/>
                <w:color w:val="auto"/>
              </w:rPr>
            </w:pPr>
            <w:r>
              <w:rPr>
                <w:rFonts w:ascii="Times New Roman" w:cs="Times New Roman" w:eastAsia="Times New Roman" w:hAnsi="Times New Roman"/>
                <w:sz w:val="2"/>
                <w:szCs w:val="2"/>
                <w:color w:val="auto"/>
              </w:rPr>
              <w:t>—</w:t>
            </w:r>
          </w:p>
        </w:tc>
        <w:tc>
          <w:tcPr>
            <w:tcW w:w="1320" w:type="dxa"/>
            <w:vAlign w:val="bottom"/>
            <w:gridSpan w:val="2"/>
            <w:shd w:val="clear" w:color="auto" w:fill="CCEEFF"/>
          </w:tcPr>
          <w:p>
            <w:pPr>
              <w:jc w:val="right"/>
              <w:ind w:right="81"/>
              <w:spacing w:after="0" w:line="19" w:lineRule="exact"/>
              <w:rPr>
                <w:sz w:val="20"/>
                <w:szCs w:val="20"/>
                <w:color w:val="auto"/>
              </w:rPr>
            </w:pPr>
            <w:r>
              <w:rPr>
                <w:rFonts w:ascii="Times New Roman" w:cs="Times New Roman" w:eastAsia="Times New Roman" w:hAnsi="Times New Roman"/>
                <w:sz w:val="2"/>
                <w:szCs w:val="2"/>
                <w:color w:val="auto"/>
              </w:rPr>
              <w:t>(30,558)</w:t>
            </w:r>
          </w:p>
        </w:tc>
        <w:tc>
          <w:tcPr>
            <w:tcW w:w="1220" w:type="dxa"/>
            <w:vAlign w:val="bottom"/>
            <w:gridSpan w:val="2"/>
            <w:shd w:val="clear" w:color="auto" w:fill="CCEEFF"/>
          </w:tcPr>
          <w:p>
            <w:pPr>
              <w:jc w:val="right"/>
              <w:ind w:right="100"/>
              <w:spacing w:after="0" w:line="19" w:lineRule="exact"/>
              <w:rPr>
                <w:sz w:val="20"/>
                <w:szCs w:val="20"/>
                <w:color w:val="auto"/>
              </w:rPr>
            </w:pPr>
            <w:r>
              <w:rPr>
                <w:rFonts w:ascii="Times New Roman" w:cs="Times New Roman" w:eastAsia="Times New Roman" w:hAnsi="Times New Roman"/>
                <w:sz w:val="2"/>
                <w:szCs w:val="2"/>
                <w:color w:val="auto"/>
              </w:rPr>
              <w:t>—</w:t>
            </w:r>
          </w:p>
        </w:tc>
        <w:tc>
          <w:tcPr>
            <w:tcW w:w="0" w:type="dxa"/>
            <w:vAlign w:val="bottom"/>
          </w:tcPr>
          <w:p>
            <w:pPr>
              <w:spacing w:after="0" w:line="20" w:lineRule="exact"/>
              <w:rPr>
                <w:sz w:val="1"/>
                <w:szCs w:val="1"/>
                <w:color w:val="auto"/>
              </w:rPr>
            </w:pPr>
          </w:p>
        </w:tc>
      </w:tr>
      <w:tr>
        <w:trPr>
          <w:trHeight w:val="201"/>
        </w:trPr>
        <w:tc>
          <w:tcPr>
            <w:tcW w:w="32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Intercompany receivable from other</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0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subsidiaries</w:t>
            </w:r>
            <w:r>
              <w:rPr>
                <w:rFonts w:ascii="Times New Roman" w:cs="Times New Roman" w:eastAsia="Times New Roman" w:hAnsi="Times New Roman"/>
                <w:sz w:val="29"/>
                <w:szCs w:val="29"/>
                <w:color w:val="auto"/>
                <w:vertAlign w:val="superscript"/>
              </w:rPr>
              <w:t>(3)</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5,243</w:t>
            </w: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9,455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(14,698)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2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Intercompany receivable from VIEs and</w:t>
            </w: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0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VIEs subsidiaries</w:t>
            </w:r>
            <w:r>
              <w:rPr>
                <w:rFonts w:ascii="Times New Roman" w:cs="Times New Roman" w:eastAsia="Times New Roman" w:hAnsi="Times New Roman"/>
                <w:sz w:val="29"/>
                <w:szCs w:val="29"/>
                <w:color w:val="auto"/>
                <w:vertAlign w:val="superscript"/>
              </w:rPr>
              <w:t>(4)</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68,893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1,275</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(70,168)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10,798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22,411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38,415</w:t>
            </w:r>
          </w:p>
        </w:tc>
        <w:tc>
          <w:tcPr>
            <w:tcW w:w="0" w:type="dxa"/>
            <w:vAlign w:val="bottom"/>
          </w:tcPr>
          <w:p>
            <w:pPr>
              <w:spacing w:after="0"/>
              <w:rPr>
                <w:sz w:val="1"/>
                <w:szCs w:val="1"/>
                <w:color w:val="auto"/>
              </w:rPr>
            </w:pPr>
          </w:p>
        </w:tc>
      </w:tr>
      <w:tr>
        <w:trPr>
          <w:trHeight w:val="216"/>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45,238</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82,591</w:t>
            </w: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40,630</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(120,818)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2,099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2,445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12,581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15,389</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447,947</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436,143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(885,890)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equity investees</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2,833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3,207</w:t>
            </w:r>
          </w:p>
        </w:tc>
        <w:tc>
          <w:tcPr>
            <w:tcW w:w="0" w:type="dxa"/>
            <w:vAlign w:val="bottom"/>
          </w:tcPr>
          <w:p>
            <w:pPr>
              <w:spacing w:after="0"/>
              <w:rPr>
                <w:sz w:val="1"/>
                <w:szCs w:val="1"/>
                <w:color w:val="auto"/>
              </w:rPr>
            </w:pPr>
          </w:p>
        </w:tc>
      </w:tr>
      <w:tr>
        <w:trPr>
          <w:trHeight w:val="236"/>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447,947</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436,623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18,635</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(885,890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493,185</w:t>
            </w:r>
          </w:p>
        </w:tc>
        <w:tc>
          <w:tcPr>
            <w:tcW w:w="2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87,141</w:t>
            </w:r>
          </w:p>
        </w:tc>
        <w:tc>
          <w:tcPr>
            <w:tcW w:w="2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442,676</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59,265</w:t>
            </w:r>
          </w:p>
        </w:tc>
        <w:tc>
          <w:tcPr>
            <w:tcW w:w="2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(1,006,708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75,559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LIABILITIES AND</w:t>
            </w: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3,241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3,266</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98,125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98,293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loans</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20,681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20,681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loans, at amortized cost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1,062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185,775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41,874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228,711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3,541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17,985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21,526</w:t>
            </w:r>
          </w:p>
        </w:tc>
        <w:tc>
          <w:tcPr>
            <w:tcW w:w="0" w:type="dxa"/>
            <w:vAlign w:val="bottom"/>
          </w:tcPr>
          <w:p>
            <w:pPr>
              <w:spacing w:after="0"/>
              <w:rPr>
                <w:sz w:val="1"/>
                <w:szCs w:val="1"/>
                <w:color w:val="auto"/>
              </w:rPr>
            </w:pPr>
          </w:p>
        </w:tc>
      </w:tr>
      <w:tr>
        <w:trPr>
          <w:trHeight w:val="1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Intercompany payable to Yimutian Inc.</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
                <w:szCs w:val="1"/>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
                <w:szCs w:val="1"/>
                <w:color w:val="auto"/>
              </w:rPr>
              <w:t>28,625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
                <w:szCs w:val="1"/>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
                <w:szCs w:val="1"/>
                <w:color w:val="auto"/>
              </w:rPr>
              <w:t>50,884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
                <w:szCs w:val="1"/>
                <w:color w:val="auto"/>
              </w:rPr>
              <w:t>(79,509)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01"/>
        </w:trPr>
        <w:tc>
          <w:tcPr>
            <w:tcW w:w="3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Intercompany payable to WFOE</w:t>
            </w:r>
            <w:r>
              <w:rPr>
                <w:rFonts w:ascii="Times New Roman" w:cs="Times New Roman" w:eastAsia="Times New Roman" w:hAnsi="Times New Roman"/>
                <w:sz w:val="29"/>
                <w:szCs w:val="29"/>
                <w:color w:val="auto"/>
                <w:vertAlign w:val="superscript"/>
              </w:rPr>
              <w:t>(6)</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68,893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(74,136)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2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Intercompany payable to other</w:t>
            </w: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0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subsidiaries</w:t>
            </w:r>
            <w:r>
              <w:rPr>
                <w:rFonts w:ascii="Times New Roman" w:cs="Times New Roman" w:eastAsia="Times New Roman" w:hAnsi="Times New Roman"/>
                <w:sz w:val="29"/>
                <w:szCs w:val="29"/>
                <w:color w:val="auto"/>
                <w:vertAlign w:val="superscript"/>
              </w:rPr>
              <w:t>(7)</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1,275</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2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Intercompany payable to VIEs and VIEs</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0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subsidiaries</w:t>
            </w:r>
            <w:r>
              <w:rPr>
                <w:rFonts w:ascii="Times New Roman" w:cs="Times New Roman" w:eastAsia="Times New Roman" w:hAnsi="Times New Roman"/>
                <w:sz w:val="29"/>
                <w:szCs w:val="29"/>
                <w:color w:val="auto"/>
                <w:vertAlign w:val="superscript"/>
              </w:rPr>
              <w:t>(8)</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5,394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9,455</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(14,849)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15,224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32,250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1,833</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50,906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100,213</w:t>
            </w: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6,870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7,924</w:t>
            </w:r>
          </w:p>
        </w:tc>
        <w:tc>
          <w:tcPr>
            <w:tcW w:w="0" w:type="dxa"/>
            <w:vAlign w:val="bottom"/>
          </w:tcPr>
          <w:p>
            <w:pPr>
              <w:spacing w:after="0"/>
              <w:rPr>
                <w:sz w:val="1"/>
                <w:szCs w:val="1"/>
                <w:color w:val="auto"/>
              </w:rPr>
            </w:pPr>
          </w:p>
        </w:tc>
      </w:tr>
      <w:tr>
        <w:trPr>
          <w:trHeight w:val="216"/>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45,902</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265,493</w:t>
            </w: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21,250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322,068</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(169,769)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484,944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14,030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14,030</w:t>
            </w: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1,545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5,169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6,847</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1,545</w:t>
            </w:r>
          </w:p>
        </w:tc>
        <w:tc>
          <w:tcPr>
            <w:tcW w:w="28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133</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19,199</w:t>
            </w:r>
          </w:p>
        </w:tc>
        <w:tc>
          <w:tcPr>
            <w:tcW w:w="28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20,877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45,902</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267,038</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21,383</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341,267</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(169,769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505,821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mezzanine equity</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1,213,769</w:t>
            </w:r>
          </w:p>
        </w:tc>
        <w:tc>
          <w:tcPr>
            <w:tcW w:w="2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1,213,769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Intercompany receivable from VIEs</w:t>
            </w: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and VIEs’ Subsidiaries for preferred</w:t>
            </w: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3200" w:type="dxa"/>
            <w:vAlign w:val="bottom"/>
            <w:shd w:val="clear" w:color="auto" w:fill="CCEEFF"/>
          </w:tcPr>
          <w:p>
            <w:pPr>
              <w:ind w:left="180"/>
              <w:spacing w:after="0" w:line="288" w:lineRule="exact"/>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29"/>
                <w:szCs w:val="29"/>
                <w:b w:val="1"/>
                <w:bCs w:val="1"/>
                <w:color w:val="auto"/>
                <w:vertAlign w:val="superscript"/>
              </w:rPr>
              <w:t>(9)</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54,429</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(54,429)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67"/>
        </w:trPr>
        <w:tc>
          <w:tcPr>
            <w:tcW w:w="320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Total shareholders’ Deficit (equity)</w:t>
            </w:r>
          </w:p>
        </w:tc>
        <w:tc>
          <w:tcPr>
            <w:tcW w:w="1120" w:type="dxa"/>
            <w:vAlign w:val="bottom"/>
            <w:tcBorders>
              <w:top w:val="single" w:sz="8" w:color="auto"/>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attributable to ordinary shareholders</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(820,915)</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(179,897)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421,321</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(282,284)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(782,510)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(1,644,285)</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282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254</w:t>
            </w: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 (equity)</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(820,915)</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(179,897)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421,293</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(282,002)</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(782,510)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(1,644,031)</w:t>
            </w:r>
          </w:p>
        </w:tc>
        <w:tc>
          <w:tcPr>
            <w:tcW w:w="0" w:type="dxa"/>
            <w:vAlign w:val="bottom"/>
          </w:tcPr>
          <w:p>
            <w:pPr>
              <w:spacing w:after="0"/>
              <w:rPr>
                <w:sz w:val="1"/>
                <w:szCs w:val="1"/>
                <w:color w:val="auto"/>
              </w:rPr>
            </w:pPr>
          </w:p>
        </w:tc>
      </w:tr>
      <w:tr>
        <w:trPr>
          <w:trHeight w:val="180"/>
        </w:trPr>
        <w:tc>
          <w:tcPr>
            <w:tcW w:w="32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Total liabilities, mezzanine equity and</w:t>
            </w:r>
          </w:p>
        </w:tc>
        <w:tc>
          <w:tcPr>
            <w:tcW w:w="11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493,185</w:t>
            </w:r>
          </w:p>
        </w:tc>
        <w:tc>
          <w:tcPr>
            <w:tcW w:w="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87,141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442,676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59,265</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(1,006,708)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75,559</w:t>
            </w: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audit fees billed by the auditor of Yimutian Inc., which were paid by the VIEs and the VIEs Subsidiaries.</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amounts receivable from WFOE to Yimutian Inc. in connection with convertible loans issued to Dezhou Decai Industrial Innovation Equity Investment Fund (Limited Partnership) (“Dezhou Decai”) in principal amount of RMB19.5 million in 2022 and, to a lesser extent, amounts receivable from WFOE in connection with advances by Yimutian Inc. to WFOE for business operations.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56" w:gutter="0" w:footer="0" w:header="0"/>
        </w:sectPr>
      </w:pPr>
    </w:p>
    <w:bookmarkStart w:id="15" w:name="page16"/>
    <w:bookmarkEnd w:id="15"/>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advances made by WFOE and the VIEs and the VIEs’ subsidiaries to other subsidiaries for business operations.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advances made by WFOE and other subsidiaries to the VIEs and the VIEs’ subsidiaries for business operations.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payable to Yimutian Inc. in connection with certain preferred shareholders’, including our founder’s, subscription of Yimutian Inc.’s Series B, C-2 and D preferred shares in 2023. Prior to paying the consideration of the preferred shares to Yimutian Inc., the preferred shareholders, including our founder, made shareholder loans to the VIEs and the VIEs’ subsidiaries in the same amount of the consideration for preferred shares.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advances made by WFOE to the VIEs and the VIEs subsidiaries and other subsidiaries for business operations.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advances made by other subsidiaries to the VIEs and the VIEs’ subsidiaries for business operations.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advances made by the VIEs and the VIEs’ subsidiaries to other subsidiaries and Yimutian Inc. for business operation.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Consolidating Cash Flows Information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80" w:type="dxa"/>
            <w:vAlign w:val="bottom"/>
            <w:tcBorders>
              <w:bottom w:val="single" w:sz="8" w:color="auto"/>
            </w:tcBorders>
            <w:gridSpan w:val="7"/>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2025</w:t>
            </w:r>
          </w:p>
        </w:tc>
        <w:tc>
          <w:tcPr>
            <w:tcW w:w="10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3"/>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VIEs and</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Yimutian</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VIEs’</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4"/>
              </w:rPr>
              <w:t>Inc.</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WFOE</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totals</w:t>
            </w:r>
          </w:p>
        </w:tc>
        <w:tc>
          <w:tcPr>
            <w:tcW w:w="0" w:type="dxa"/>
            <w:vAlign w:val="bottom"/>
          </w:tcPr>
          <w:p>
            <w:pPr>
              <w:spacing w:after="0"/>
              <w:rPr>
                <w:sz w:val="1"/>
                <w:szCs w:val="1"/>
                <w:color w:val="auto"/>
              </w:rPr>
            </w:pPr>
          </w:p>
        </w:tc>
      </w:tr>
      <w:tr>
        <w:trPr>
          <w:trHeight w:val="238"/>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720" w:type="dxa"/>
            <w:vAlign w:val="bottom"/>
            <w:tcBorders>
              <w:top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(RMB in thousands)</w:t>
            </w:r>
          </w:p>
        </w:tc>
        <w:tc>
          <w:tcPr>
            <w:tcW w:w="10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cash (used in) provided by operating</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(29,924)</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(13,721)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(5,571)</w:t>
            </w:r>
          </w:p>
        </w:tc>
        <w:tc>
          <w:tcPr>
            <w:tcW w:w="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(49,179)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(733)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(117)</w:t>
            </w:r>
          </w:p>
        </w:tc>
        <w:tc>
          <w:tcPr>
            <w:tcW w:w="40" w:type="dxa"/>
            <w:vAlign w:val="bottom"/>
          </w:tcPr>
          <w:p>
            <w:pPr>
              <w:spacing w:after="0"/>
              <w:rPr>
                <w:sz w:val="18"/>
                <w:szCs w:val="18"/>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(850)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134,555</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13,744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1,614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5,375</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155,288</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foreign currency exchange rate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on cash and cash equivalents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1,537</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180"/>
        </w:trPr>
        <w:tc>
          <w:tcPr>
            <w:tcW w:w="32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Net increase (decrease) in cash and cash</w:t>
            </w:r>
          </w:p>
        </w:tc>
        <w:tc>
          <w:tcPr>
            <w:tcW w:w="11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106,168</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836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(313)</w:t>
            </w:r>
          </w:p>
        </w:tc>
        <w:tc>
          <w:tcPr>
            <w:tcW w:w="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106,714</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at the beginning</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the year</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1,537</w:t>
            </w:r>
          </w:p>
        </w:tc>
        <w:tc>
          <w:tcPr>
            <w:tcW w:w="40" w:type="dxa"/>
            <w:vAlign w:val="bottom"/>
          </w:tcPr>
          <w:p>
            <w:pPr>
              <w:spacing w:after="0"/>
              <w:rPr>
                <w:sz w:val="22"/>
                <w:szCs w:val="22"/>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2,772</w:t>
            </w:r>
          </w:p>
        </w:tc>
        <w:tc>
          <w:tcPr>
            <w:tcW w:w="0" w:type="dxa"/>
            <w:vAlign w:val="bottom"/>
          </w:tcPr>
          <w:p>
            <w:pPr>
              <w:spacing w:after="0"/>
              <w:rPr>
                <w:sz w:val="1"/>
                <w:szCs w:val="1"/>
                <w:color w:val="auto"/>
              </w:rPr>
            </w:pPr>
          </w:p>
        </w:tc>
      </w:tr>
      <w:tr>
        <w:trPr>
          <w:trHeight w:val="180"/>
        </w:trPr>
        <w:tc>
          <w:tcPr>
            <w:tcW w:w="32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Cash and cash equivalents at the end of</w:t>
            </w:r>
          </w:p>
        </w:tc>
        <w:tc>
          <w:tcPr>
            <w:tcW w:w="11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the year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106,297</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1,224</w:t>
            </w:r>
          </w:p>
        </w:tc>
        <w:tc>
          <w:tcPr>
            <w:tcW w:w="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109,486</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2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7"/>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2024</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3"/>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VIEs and</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Yimutian</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VIEs’</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4"/>
              </w:rPr>
              <w:t>Inc.</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WFOE</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totals</w:t>
            </w:r>
          </w:p>
        </w:tc>
        <w:tc>
          <w:tcPr>
            <w:tcW w:w="0" w:type="dxa"/>
            <w:vAlign w:val="bottom"/>
          </w:tcPr>
          <w:p>
            <w:pPr>
              <w:spacing w:after="0"/>
              <w:rPr>
                <w:sz w:val="1"/>
                <w:szCs w:val="1"/>
                <w:color w:val="auto"/>
              </w:rPr>
            </w:pPr>
          </w:p>
        </w:tc>
      </w:tr>
      <w:tr>
        <w:trPr>
          <w:trHeight w:val="238"/>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720" w:type="dxa"/>
            <w:vAlign w:val="bottom"/>
            <w:tcBorders>
              <w:top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(RMB in thousands)</w:t>
            </w:r>
          </w:p>
        </w:tc>
        <w:tc>
          <w:tcPr>
            <w:tcW w:w="10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cash (used in) provided by operating</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(31,354)</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(34,659)</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(2,132)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6,706</w:t>
            </w:r>
          </w:p>
        </w:tc>
        <w:tc>
          <w:tcPr>
            <w:tcW w:w="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(61,439)</w:t>
            </w:r>
          </w:p>
        </w:tc>
        <w:tc>
          <w:tcPr>
            <w:tcW w:w="0" w:type="dxa"/>
            <w:vAlign w:val="bottom"/>
          </w:tcPr>
          <w:p>
            <w:pPr>
              <w:spacing w:after="0"/>
              <w:rPr>
                <w:sz w:val="1"/>
                <w:szCs w:val="1"/>
                <w:color w:val="auto"/>
              </w:rPr>
            </w:pPr>
          </w:p>
        </w:tc>
      </w:tr>
      <w:tr>
        <w:trPr>
          <w:trHeight w:val="194"/>
        </w:trPr>
        <w:tc>
          <w:tcPr>
            <w:tcW w:w="32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cash provided by (used in) investing</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149</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500</w:t>
            </w:r>
          </w:p>
        </w:tc>
        <w:tc>
          <w:tcPr>
            <w:tcW w:w="40" w:type="dxa"/>
            <w:vAlign w:val="bottom"/>
          </w:tcPr>
          <w:p>
            <w:pPr>
              <w:spacing w:after="0"/>
              <w:rPr>
                <w:sz w:val="20"/>
                <w:szCs w:val="20"/>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w:t>
            </w: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cash provided by (used in) financing</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30,995</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34,715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3,558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(8,900)</w:t>
            </w:r>
          </w:p>
        </w:tc>
        <w:tc>
          <w:tcPr>
            <w:tcW w:w="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60,368</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foreign currency exchange rate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on cash and cash equivalents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(decrease) increase in cash and cash</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(367)</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(1,694)</w:t>
            </w:r>
          </w:p>
        </w:tc>
        <w:tc>
          <w:tcPr>
            <w:tcW w:w="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(1,057)</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at the beginning</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the year</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496</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3,231</w:t>
            </w:r>
          </w:p>
        </w:tc>
        <w:tc>
          <w:tcPr>
            <w:tcW w:w="4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 equivalents at the end of</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the year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129</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995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1,537</w:t>
            </w:r>
          </w:p>
        </w:tc>
        <w:tc>
          <w:tcPr>
            <w:tcW w:w="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2,772</w:t>
            </w:r>
          </w:p>
        </w:tc>
        <w:tc>
          <w:tcPr>
            <w:tcW w:w="0" w:type="dxa"/>
            <w:vAlign w:val="bottom"/>
          </w:tcPr>
          <w:p>
            <w:pPr>
              <w:spacing w:after="0"/>
              <w:rPr>
                <w:sz w:val="1"/>
                <w:szCs w:val="1"/>
                <w:color w:val="auto"/>
              </w:rPr>
            </w:pPr>
          </w:p>
        </w:tc>
      </w:tr>
      <w:tr>
        <w:trPr>
          <w:trHeight w:val="655"/>
        </w:trPr>
        <w:tc>
          <w:tcPr>
            <w:tcW w:w="3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80" w:type="dxa"/>
            <w:vAlign w:val="bottom"/>
            <w:tcBorders>
              <w:bottom w:val="single" w:sz="8" w:color="auto"/>
            </w:tcBorders>
            <w:gridSpan w:val="7"/>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2023</w:t>
            </w:r>
          </w:p>
        </w:tc>
        <w:tc>
          <w:tcPr>
            <w:tcW w:w="10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3"/>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VIEs and</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Yimutian</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VIEs’</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Eliminating</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Inc.</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WFOE</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0" w:type="dxa"/>
            <w:vAlign w:val="bottom"/>
          </w:tcPr>
          <w:p>
            <w:pPr>
              <w:spacing w:after="0"/>
              <w:rPr>
                <w:sz w:val="1"/>
                <w:szCs w:val="1"/>
                <w:color w:val="auto"/>
              </w:rPr>
            </w:pPr>
          </w:p>
        </w:tc>
      </w:tr>
      <w:tr>
        <w:trPr>
          <w:trHeight w:val="238"/>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720" w:type="dxa"/>
            <w:vAlign w:val="bottom"/>
            <w:tcBorders>
              <w:top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(RMB in thousands)</w:t>
            </w:r>
          </w:p>
        </w:tc>
        <w:tc>
          <w:tcPr>
            <w:tcW w:w="10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cash (used in) provided by operating</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(4,916)</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(135,301)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121,258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1,003</w:t>
            </w:r>
          </w:p>
        </w:tc>
        <w:tc>
          <w:tcPr>
            <w:tcW w:w="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(17,956)</w:t>
            </w:r>
          </w:p>
        </w:tc>
        <w:tc>
          <w:tcPr>
            <w:tcW w:w="0" w:type="dxa"/>
            <w:vAlign w:val="bottom"/>
          </w:tcPr>
          <w:p>
            <w:pPr>
              <w:spacing w:after="0"/>
              <w:rPr>
                <w:sz w:val="1"/>
                <w:szCs w:val="1"/>
                <w:color w:val="auto"/>
              </w:rPr>
            </w:pPr>
          </w:p>
        </w:tc>
      </w:tr>
      <w:tr>
        <w:trPr>
          <w:trHeight w:val="194"/>
        </w:trPr>
        <w:tc>
          <w:tcPr>
            <w:tcW w:w="32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cash (used in) provided by investing</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(7,083)</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5,019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(1,160)</w:t>
            </w:r>
          </w:p>
        </w:tc>
        <w:tc>
          <w:tcPr>
            <w:tcW w:w="40" w:type="dxa"/>
            <w:vAlign w:val="bottom"/>
          </w:tcPr>
          <w:p>
            <w:pPr>
              <w:spacing w:after="0"/>
              <w:rPr>
                <w:sz w:val="20"/>
                <w:szCs w:val="20"/>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(3,230)</w:t>
            </w: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cash provided by (used in) financing</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12,508</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134,545</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(126,482)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18,545</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foreign currency exchange rate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on cash and cash equivalents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180"/>
        </w:trPr>
        <w:tc>
          <w:tcPr>
            <w:tcW w:w="32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Net increase (decrease) in cash and cash</w:t>
            </w:r>
          </w:p>
        </w:tc>
        <w:tc>
          <w:tcPr>
            <w:tcW w:w="11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307</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(762)</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(2,183)</w:t>
            </w:r>
          </w:p>
        </w:tc>
        <w:tc>
          <w:tcPr>
            <w:tcW w:w="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(2,856)</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at the beginning</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the year</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189</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5,414</w:t>
            </w:r>
          </w:p>
        </w:tc>
        <w:tc>
          <w:tcPr>
            <w:tcW w:w="40" w:type="dxa"/>
            <w:vAlign w:val="bottom"/>
          </w:tcPr>
          <w:p>
            <w:pPr>
              <w:spacing w:after="0"/>
              <w:rPr>
                <w:sz w:val="22"/>
                <w:szCs w:val="22"/>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6,685</w:t>
            </w:r>
          </w:p>
        </w:tc>
        <w:tc>
          <w:tcPr>
            <w:tcW w:w="0" w:type="dxa"/>
            <w:vAlign w:val="bottom"/>
          </w:tcPr>
          <w:p>
            <w:pPr>
              <w:spacing w:after="0"/>
              <w:rPr>
                <w:sz w:val="1"/>
                <w:szCs w:val="1"/>
                <w:color w:val="auto"/>
              </w:rPr>
            </w:pPr>
          </w:p>
        </w:tc>
      </w:tr>
      <w:tr>
        <w:trPr>
          <w:trHeight w:val="180"/>
        </w:trPr>
        <w:tc>
          <w:tcPr>
            <w:tcW w:w="32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Cash and cash equivalents at the end of</w:t>
            </w:r>
          </w:p>
        </w:tc>
        <w:tc>
          <w:tcPr>
            <w:tcW w:w="11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the year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496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3,231</w:t>
            </w:r>
          </w:p>
        </w:tc>
        <w:tc>
          <w:tcPr>
            <w:tcW w:w="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3,829</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52" w:lineRule="exact"/>
        <w:rPr>
          <w:rFonts w:ascii="Times New Roman" w:cs="Times New Roman" w:eastAsia="Times New Roman" w:hAnsi="Times New Roman"/>
          <w:sz w:val="18"/>
          <w:szCs w:val="18"/>
          <w:b w:val="1"/>
          <w:bCs w:val="1"/>
          <w:color w:val="auto"/>
        </w:rPr>
      </w:pPr>
    </w:p>
    <w:p>
      <w:pPr>
        <w:ind w:left="660" w:right="7480" w:hanging="652"/>
        <w:spacing w:after="0" w:line="516" w:lineRule="auto"/>
        <w:tabs>
          <w:tab w:leader="none" w:pos="33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ind w:left="660" w:right="6400" w:hanging="652"/>
        <w:spacing w:after="0" w:line="516" w:lineRule="auto"/>
        <w:tabs>
          <w:tab w:leader="none" w:pos="33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investment in our ADSs involves significant risks. You should carefully consider all of the information in this annual report before making an investment in our ADSs. Below please find a summary of the principal risks and uncertainties we face, organized under relevant headings. The operational risks associated with being based in and having operations in mainland China also apply to operations in Hong Kong and Macau.</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9" w:lineRule="exact"/>
        <w:rPr>
          <w:sz w:val="20"/>
          <w:szCs w:val="20"/>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or retain agricultural product sellers, our platform will become less appealing to wholesale markets and business buyers, and our business and financial results may be materially and adversely impacted.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or retain buyers of agricultural products, our platform will become less appealing to agricultural product sellers, and our business and financial results may be materially and adversely impacted.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since our inception. We cannot guarantee that our monetization strategies will be successful and generate sustainable revenues and realize profitability. If we are unable to achieve and maintain profitability in the future, our business, financial condition and results of operations may be materially and adversely affected.</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cash outflow, net current liabilities, and preferred shareholder redemption rights raise substantial doubt about our ability to continue as a going concern.</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our evolving business make it difficult to evaluate our future prospects and the risks and challenges we may encounter, and our historical growth and performance may not be indicative of our future growth and financial results.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7" w:name="page18"/>
    <w:bookmarkEnd w:id="17"/>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results of operations may be materially and adversely affected if inclement weather persists or natural disasters occur. Changes in the availability of quality agricultural products and price fluctuations could also negatively affect our business.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heavily on the market recognition and reputation of our brands. Any harm to our brands, failure to maintain and enhance our brand recognition or any negative publicity about us, our business, management, business partners or the agricultural B2B industry in general, may materially and adversely affect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results of operations may be materially and adversely affected if we are unable to maintain satisfactory user experience or high quality customer service.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product sellers on our platform deliver their products to wholesale markets or business buyers through a variety of third-party logistics service providers. Service interruptions, failures, or constraints of these third parties could severely harm our reputation, business and prospects.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complex and evolving laws and regulations regarding cybersecurity, data privacy and data protection. Actual or alleged failure to comply with cybersecurity, data privacy and data protection laws and regulations could damage our reputation, deter current and potential users from using our services and subject us to significant legal, financial and operational consequences.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229" w:lineRule="exact"/>
        <w:rPr>
          <w:sz w:val="20"/>
          <w:szCs w:val="20"/>
          <w:color w:val="auto"/>
        </w:rPr>
      </w:pPr>
    </w:p>
    <w:p>
      <w:pPr>
        <w:jc w:val="both"/>
        <w:ind w:left="980" w:hanging="324"/>
        <w:spacing w:after="0" w:line="255"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Yimutian Inc. is a Cayman Islands holding company with no operations of its own. We currently conduct our operations in mainland China through our subsidiaries and the VIEs. If the mainland China government deems that our contractual arrangements with the VIEs do not comply with the laws of mainland China, or if these laws, or the interpretation of existing laws, change in the future, we could be subject to material penalties or be forced to relinquish our interests in those operations or otherwise significantly change our corporate structure. We and our investors face uncertainty about potential future actions by the mainland China government that could affect the legality and enforceability of the contractual arrangements with the VIEs and, consequently, significantly affect our ability to consolidate the financial results of the VIEs and the financial performance of our company as a whole.</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may not be as effective in providing operational control as direct ownership and the VIE shareholders may fail to perform their obligations under our contractual arrangements.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Mainland China</w:t>
      </w:r>
    </w:p>
    <w:p>
      <w:pPr>
        <w:spacing w:after="0" w:line="229" w:lineRule="exact"/>
        <w:rPr>
          <w:sz w:val="20"/>
          <w:szCs w:val="20"/>
          <w:color w:val="auto"/>
        </w:rPr>
      </w:pPr>
    </w:p>
    <w:p>
      <w:pPr>
        <w:jc w:val="both"/>
        <w:ind w:left="980" w:hanging="324"/>
        <w:spacing w:after="0" w:line="25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system in mainland China evolves rapidly, and the interpretations of laws, regulations and rules may change from time to time. The enforcement of laws in mainland China and rules and regulations in mainland China can change quickly with little advance notice. In addition, their interpretations and enforcement involve uncertainties. Similar to situations of many other countries, the mainland China government has oversight over the conduct of our business and may influence or intervene our operations at any time, which could result in a material change in our operations and/or the value of our Class A ordinary shares or ADSs. Furthermore, the mainland China government has recently promulgated certain measures to supervise overseas securities offering of domestic entities, indicating an intent to exert more oversight and control over securities offerings and other capital markets activities that are conducted overseas and/or foreign investment in mainland China-based companies like us. If we fail to comply with the new measures relating to overseas securities offering of domestic entities, such failure could adversely affect the value of our Class A ordinary shares or the ADSs, or significantly limit or completely hinder our ability to offer or continue to offer securities to investors and cause the value of such securities to significantly decline or in extreme cases, become worthless. For details, see “Item 3. Key Information—D. Risk Factors—Risks Related to Doing Business in Mainland China— We are subject to evolving laws and regulations of mainland China that could require us to modify our current business practices and incur increased costs, and the mainland China government’s oversight over our business operations could result in a material adverse change in our operations and the value of our Class A ordinary shares or ADSs.”</w:t>
      </w:r>
    </w:p>
    <w:p>
      <w:pPr>
        <w:spacing w:after="0" w:line="19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and/or filing with the CSRC or other PRC government authorities may be required in connection with our offshore offerings under the laws of mainland China, and, if required, we cannot predict whether or for how long we will be able to obtain such approval or complete such filing.</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mainland China and Hong Kong. The delisting of the ADSs, or the threat of their being delisted, may materially and adversely affect the value of your investment.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ADSs</w:t>
      </w:r>
    </w:p>
    <w:p>
      <w:pPr>
        <w:spacing w:after="0" w:line="229"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ADSs is likely to be volatile, which could result in substantial losses to investors.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meet Nasdaq’s minimum bid price or minimum market value of publicly held shares requirements, our ADSs could be subject to delisting, which may significantly reduce the liquidity of our ADSs and cause further declines to the market price of our ADSs.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voting structure limits your ability to influence corporate matters and could discourage others from pursuing any change of control transactions that holders of our Class A ordinary shares and ADSs may view as beneficial.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or retain agricultural product sellers, our platform will become less appealing to wholesale markets and business buyers, and our business and financial results may be materially and adversely impacted.</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rely upon sellers of agricultural products on our platform, including farmers and food production or processing companies to provide quality agricultural products to wholesale markets and business buyers. The number of sellers on our platform increased from 3.2 million as of December 31, 2023 to 3.5 million as of December 31, 2024 and further increased to 3.7 million as of December 31, 2025. Attracting and retaining new agricultural product sellers to our platform and engaging existing sellers on our platform are essential for our success. The number of agricultural product sellers on our platform or the frequency of their use of our platform could fluctuate and may materially decline as a result of many factors, such as the sellers’ perceived failure to achieve expected results and generate profits, the pricing of our services, and the emergence of competing platforms and alternative channels for sellers to approach buyers, some of which are beyond our control. If we are unable to effectively help the sellers sell their agricultural products to appropriate business buyers or provide quality services they desire, they may switch to other competing platforms. A decrease in the number of sellers on our platform would make it difficult for us to maintain and increase the variety and quantity of products available on our platform and cause a decline in our income. An insufficient number of agricultural product sellers on our platform would also reduce our network activity and it may be increasingly difficult for business buyers to purchase agricultural products in quality and quantity and at price satisfactory to them, which may lead to reduced number of buyers and the perceived utility of our platform. Activity on our platform may also fluctuate due to seasonality. See “—Our business and operating results may experience seasonal fluctuations” for more information. If agricultural product sellers do not establish or maintain active accounts with us, if we fail to provide high-quality services, or if we cannot otherwise attract and retain a sufficient number of agricultural product sellers, our business and results of operations could grow slower than expected or decline significantly.</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or retain buyers of agricultural products, our platform will become less appealing to agricultural product sellers, and our business and financial results may be materially and adversely impacted.</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success significantly depends on our ability to maintain or expand our network by attracting and retaining buyers on our platform. The number of buyers on our platform increased from 14.8 million as of December 31, 2023 to 16.3 million as of December 31, 2024, and further increased to 17.4 million as of December 31, 2025. The number of buyers on our platform or the frequency of their use of our platform may fluctuate and could decline as a result of a number of factors, including declining number of agricultural product sellers on our platform, declining variety or decreasing quality of agricultural products available on our platform, dissatisfaction with our brand or reputation, or availability of competing platforms. To make sure our platform is continuously appealing to wholesale market stall operators and business buyers, we leverage our decade-long experience in the agriculture industry, our technology capabilities and extensive amount of data gathered to enable agricultural product sellers on our platform to supply a vast variety of quality agricultural products that meet varied needs of wholesale market stall operators and different types of business buyers across different geographical locations. In 2023, 2024 and 2025, over 42% of new buyers on our platform were acquired through word-of-mouth marketing thanks to our trusted brand. However, buyer demand and preferences evolve over time, and our ability to remain competitive, grow our business and maintain our market position depends on our ability to continually respond to or anticipate changes in the market conditions and buyer demand and preferences. We may not be able to respond to or anticipate such changes in a timely manner, and inability to adapt to these changes may result in a failure to attract new buyers or retain existing buyers. In addition, we cannot guarantee that our buyers acquisition efforts would always be achieved at low costs, or at all. Any reduction in the number or availability of buyers on our platform would likely lead to a reduction in platform usage by agricultural product sellers, which in turn would make our platform less attractive to wholesale market stall operators and business buyers, and thus reduce the value of our network and harm our business prospects and future results of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net losses since our inception. We cannot guarantee that our monetization strategies will be successful and generate sustainable revenues and realize profitability. If we are unable to achieve and maintain profitability in the future, our business, financial condition and results of operations may be materially and adversely affected.</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incurred net losses of RMB105.6 million in 2023, RMB34.9 million in 2024 and RMB42.9 million (US$6.1 million) in 2025. We mainly rely on charging membership fees for services rendered to merchants on our platform as well as transaction service fees for transactions facilitated through our platform. We cannot assure you that our monetization efforts will be successful and generate sustainable revenue sources and realize profitability. Our membership base, transaction volume, number of paying merchants and paying merchants’ spending on our platform may decline if merchants find that our services not appealing to them anymore. Due to limited track record of our new monetization efforts, we also cannot assure you that these efforts will yield expected results. As a result, we may not be able to achieve or maintain profitability in the future. In addition, our expenses will likely increase in the future as we develop and launch new offerings and technologies, expand in existing and new markets, and continue to invest in our platform. These efforts may be more costly than we expect and may not result in increased revenues or growth in our business as anticipated. Furthermore, after we become a public company, we may incur additional compliance, accounting, and other expenses that we did not incur as a private company. Any failure to increase our revenues sufficiently to keep pace with our investments and other expenses could prevent us from achieving profitability or positive operating cash flow on a consistent basis. If we are unable to successfully address these risks and challenges as we encounter them, our business, financial condition and results of operations could be adversely affected.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cash outflow, net current liabilities, and preferred shareholder redemption rights raise substantial doubt about our ability to continue as a going concern.</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had net cash used in operating activities of RMB18.0 million in 2023, RMB61.4 million in 2024 and RMB45.5 million (US$6.5 million) in 2025. If we are unable to generate sufficient cash from operating activities in the future, our business, results of operations and liquidity may be adversely affected. We also had net current liabilities (current liabilities less current assets) of RMB227.8 million as of December 31, 2023, RMB229.7 million as of December 31, 2024 and RMB151.5 million (US$21.7 million) as of December 31, 2025. We may continue to have net current liabilities in the future as our business expands, in which case we may face a shortfall of working capital. We will require additional liquidity to continue our operations over the next 12 months. We are evaluating strategies to obtain the required additional funding for future operations. These strategies may include, but are not limited to, obtaining equity financing, issuing debt or entering into other financing arrangements, obtaining agreements with the existing investors to extend the due dates for outstanding debt, although there is no assurance that we will be successful in obtaining such additional financing on terms acceptable to us, if at all. In addition, we plan to diversify revenue streams and implement cost saving measures to grow revenues and decrease expenses. However, the feasibility of such plan is contingent upon many factors out of our control, and is highly uncertain and difficult to predict, and we may be unable to successfully execute such plan. As such, we cannot assure you that additional liquidity will be available in amounts or on terms acceptable to us when needed, if at all, and that we will be able to secure sufficient capital on commercially acceptable terms to fund our working capital requirements and planned capital expenditures. These factors give rise to substantial doubt over our ability to continue as a going concern. See “Item 5. Operating and Financial Review and Prospects—B. Liquidity and Capital Resources.” The accompanying consolidated financial statements do not include any adjustments that might result if we are unable to continue as a going concern and, therefore, be required to realize our assets and discharge our liabilities other than in the normal course of business which could cause investors to suffer the loss of all or a substantial portion of their investment. If we were not able to continue as a going concern, or if there were continued doubt about our ability to do so, this may further exacerbate our pressure to obtain additional financing.</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and our evolving business makes it difficult to evaluate our future prospects and the risks and challenges we may encounter, and our historical growth and performance may not be indicative of our future growth and financial results.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 limited operating history. We started to operate our agricultural e-commerce business in 2015 and commenced offering sales-assistance services in 2019. Our business continues to evolve. We from time to time introduce new platform features, offerings and services. Our limited operating history, particularly with respect to monetization, and evolving business nature make it difficult to evaluate our future prospects and the risks and challenges we may encounter. These risks and challenges include our ability to:</w:t>
      </w:r>
    </w:p>
    <w:p>
      <w:pPr>
        <w:spacing w:after="0" w:line="180"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 our revenues and budget for and manage our 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merchants and retain existing merchants in a cost-effective manner;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laws and regulations applicable to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 and changes in the markets in which we operate;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the value of our reputation and brand;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compete with other market players;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our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 our geographic reach and overcome challenges particular to new geographical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people at all levels of our organization;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new platform features, offerings and services to enhance the experience of our platform participants.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have experienced growth historically, we may not be able to continue our growth. You should not consider our historical growth as indicative of our future financial performance. If we fail to address the risks and difficulties that we face, our business, financial condition and results of operations could be adversely affected. Further, because we have limited historical financial data and operate in a rapidly evolving market, any predictions about our future revenues and expenses may not be as accurate as they would be if we had a longer operating history or operated in a more predictable market. We have encountered in the past, and will continue to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results of operations may be materially and adversely affected if inclement weather persists or natural disasters occur. Changes in the availability of quality agricultural products and price fluctuations could also negatively affect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large number of agricultural products sold with the help of our platform are mainly produced in various locations in mainland China. Agricultural production in general, including our smart farming business, is highly susceptible to inclement weather and natural disasters. For example, in July 2021, Henan Province of China experienced persistent heavy rains, which led to a temporary closure of our business operations in Zhengzhou, capital of Henan Province, and negatively affected certain of our platform participants located in Henan Province. If inclement weather persists or natural disasters or other catastrophic events occur, the supply of agricultural products would be constrained and the quality and variety of the products would likely decline, and the prices of agricultural products may also fluctuate significantly, in which case it may become difficult for our platform participants to complete transactions at satisfactory prices. Since we generate revenue from charging service fees and commissions from transactions completed on our platform, among others, the decreased transaction activity and fluctuation in prices of agricultural products could materially and adversely affect our business and results of operations. In addition, as we start to further grow our business throughout the agricultural product supply chain, we could be even more susceptible to such risks. Inclement weather and natural disasters could cause severe damage to crop we planted together with local partners, which could lead to losses of our investments and thus result in material adverse impacts on our business, results of operations and financial condition. Apart from inclement weather and natural disasters, outbreaks of diseases such as swine flu and hog cholera could also led to significant fluctuations in prices of agricultural products, and thus negatively affect our business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Even if there is no inclement weather or natural disaster, due to the varying sources of supply for agricultural products sold on our platform, there is no guarantee the quality of such agricultural products will be continuingly consistent and the availability of quality agricultural products may be limited. While we have spent efforts to standardize certain products based on buyers’ needs, but we still, to a large extent, rely on sellers to supply high-quality agricultural products that meet buyers’ demands. Failure to maintain availability of high-quality products on our platform may impair buyer confidence and the attractiveness of our platform, which in turn would adversely affect our business, results of operations and financial condition.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heavily on the market recognition and reputation of our brands. Any harm to our brands, failure to maintain and enhance our brand recognition or any negative publicity about us, our business, management, business partners or the agricultural B2B industry in general, may materially and adversely affect our business, financial condition and results of operations.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market recognition and reputation of our brands have significantly contributed to the success of our business. As a result, maintaining and enhancing our brand recognition and reputation are critical to our success and market position. Our reputation and brands may be negatively affected by various factors, some of which are difficult or impossible to predict or control, such as:</w:t>
      </w:r>
    </w:p>
    <w:p>
      <w:pPr>
        <w:spacing w:after="0" w:line="176" w:lineRule="exact"/>
        <w:rPr>
          <w:sz w:val="20"/>
          <w:szCs w:val="20"/>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convenient and reliable user experience as consumer preferences evolve and as we expand into new product categories and new business lines;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superior services and solutions on our platform;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the quality of products on our platform;</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efficiency, reliability and quality of the services and solutions provided by us or third-party truck drivers, logistics service providers and other service providers;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brand awareness among existing and potential users through various means.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Negative publicity about us, such as alleged misconduct by our employees or other parties on our platform, unethical business practices, or rumors relating to our business, management, employees, merchants on our platform, or our shareholders and affiliates could cause harm to our reputation, business and results of operations. These allegations, even if factually incorrect or based on isolated incidents, may lead to inquiries, regulatory investigations or legal actions against us. Such actions could substantially damage our brand and reputation and cause us to incur significant costs to defend ourselves. Any negative public perception or publicity regarding our business partners that we cooperate with, or any regulatory inquiries or investigations and lawsuits initiated against them, may also have an adverse impact on our brand and reputation. In addition, our brand and reputation could be damaged as a result of the negative publicity about the agricultural B2B industry in general or other agricultural e-commerce platforms in mainland China regarding security or product quality issues. If we are unable to maintain our reputation, further enhance our brand recognition and increase positive awareness of our platform, our platform participants may be reluctant to sell and buy products from our platform, and our results of operations may be materially and adversely affected.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results of operations may be materially and adversely affected if we are unable to maintain satisfactory user experience or high quality customer service.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success of our business largely depends on our ability to provide satisfactory user experience and high-quality customer service, which in turn depends on a variety of factors, such as our ability to continue to provide a reliable and user-friendly interface for our users to showcase, browse and purchase agricultural products, sellers’ ability to provide reliable and timely delivery of agricultural products, and our ability to continue to provide superior after-sales services. Transactions volume may decrease if our platform is severely interrupted or otherwise fails to meet our users’ requests. If third-party delivery companies or truck drivers who connect with sellers through our platform fail to deliver agricultural products in a timely and reliable manner, for which we do not exercise any control, or if wholesale markets or business buyers are not satisfied with product quality, our platform participants’ user experience will be impaired and our merchant loyalty could be negatively affected. In addition, we depend on our transaction disputes department and online customer service representatives to provide online assistance to our users. If our transaction disputes department or online customer service representatives fail to satisfy users’ needs, our reputation and merchant loyalty could be harmed, and we may lose potential or existing users, which would result in a decrease in both of the transaction volume on our platform and our revenue. As a result, if we are unable to maintain satisfactory user experience and provide high quality user service, we may not be able to retain existing users or attract new users, which could have a material adverse effect on our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Agricultural product sellers on our platform deliver their products to wholesale markets or business buyers through a variety of third-party logistics service providers. Service interruptions, failures, or constraints of these third parties could severely harm our reputation, business and prospects.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Sellers of agricultural products on Douniu App deliver their products to wholesale markets through third-party truck drivers, while sellers on Yimutian App deliver their products to business buyers through third-party logistics service providers. Interruptions to or failures in services provided by these third parties could affect timely and successful delivery of the products to wholesale markets and business buyers. As we do not directly control or manage the operations of these third parties, we are unable to guarantee their performance. Failure to provide satisfactory services by these third parties, such as delays in delivery, product damage or loss during transit, shutdown or termination of services may damage our reputation and cause us to lose potential or existing buyers, and may ultimately adversely affect our results of operations.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some agricultural products are perishable, if these third parties fail to deliver products to wholesale market stall operators or business buyers on time and in good condition, stall operators or business buyers may refuse to accept the products and their confidence in our platform may also be impaired. In such event, we cannot assure you that sellers or we will be able to find alternative cost-efficient service providers or operators to offer satisfactory services in a timely manner, or at all, which could cause our business and reputation to suffer or cause sellers and buyers to switch to other platforms and have negative impact on our operating results.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under consumer protection laws, in particular health and safety claims and product liability claims, if property or people are harmed by the products sold on our platform.</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involves sale of food products and is subject to inherent risks of product liability claims and the resulting negative publicity. Food products containing contaminants could be inadvertently sold on or through our platform and, if these contaminants are not eliminated by the time of consumption, they could cause bodily harm or death in severe situations. We are involved in product liability claims brought by buyers on our platform from time to time. We cannot assure you that product liability claims will not be asserted against us or that we will not be held liable for such incidents in the future. If claims are brought against us under any of these laws, we could be subject to monetary damages and actions by regulators, which could have a material adverse effect on our business, financial condition and results of operations. Although we would have legal recourse under the laws of mainland China against the seller that supplied such products, attempting to enforce our rights against such seller may be expensive, time-consuming and ultimately futile. Other than monetary damages and regulatory actions, any actual or perceived food safety issue or product contamination associated with our platform could result in negative publicities and thus seriously harm our reputation. Adverse publicity concerning food safety of agricultural products in mainland China in general could also have a negative impact on our business in addition to the general negative consequences on the whole industry.</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operators of e-commerce platforms may be subject to certain provisions of consumer protection laws even where the operator is not the producer, provider or retailer of the products or services purchased by the consumer. For example, pursuant to the Law of the People’s Republic of China on the Protection of Consumer Rights and Interests, or the Consumer Protection Law, if we fail to provide a consumer with the name, address and contact details of the seller that sold the defective product, we may be liable to compensate such consumer damages suffered by him/her, even though we are entitled to seek indemnification from sellers. In addition, if we do not take appropriate remedial action against sellers for their actions that we know, or should have known, that would infringe upon the rights and interests of consumers, we may be held jointly liable for infringement alongside the sellers. Moreover, the Consumer Protection Law provides that a platform will be held liable for failing to meet any undertaking it made to consumers with regard to products listed on the platform. Furthermore, according to the Measures for the Supervision and Administration of Online Transactions, or the Online Transaction Measures, we are required to report violations of applicable consumer protection laws, regulations or administrative rules by sellers to the State Administration for Market Regulation, or SAMR, or its local branches, and take appropriate remedial measures, including ceasing to provide services to the relevant sellers, as a platform. We may also be held jointly liable with sellers that sell agricultural products without proper licenses or authorizations. See also “—We are subject to existing and new laws and regulations imposing various requirements on e-commerce business” for further details.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maintain product liability insurance for products transacted on our platform, and our rights of indemnity from sellers or suppliers on our platform may not adequately cover us for any liability we may incur. Claims against us, even if they are eventually unsuccessful, could result in significant expenditure of funds and diversion of management time and resources. Any claims against us, whether successful or not, could result in loss in confidence on the part of our users, which would be difficult and costly to reestablish, and significantly impair our brand value, which would have a material and adverse impact on our business, results of operations, financial condition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existing and new laws and regulations imposing various requirements on e-commerce business.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E-commerce business is subject to various laws and regulations in mainland China, and the mainland China government authorities may continue to promulgate new laws, regulations and rules governing the e-commerce industry, tighten enforcement of existing laws, rules and regulations, and impose additional requirements and other obligations on our business including the operation of our e-commerce platform and our market promotion activities. Compliance with these laws, regulations and rules may be costly, and any incompliance or associated inquiries, investigations and other governmental actions may divert significant management time and attention and our financial resources, bring negative publicity, or subject us to liabilities or administrative penalties:</w:t>
      </w:r>
    </w:p>
    <w:p>
      <w:pPr>
        <w:spacing w:after="0" w:line="187" w:lineRule="exact"/>
        <w:rPr>
          <w:sz w:val="20"/>
          <w:szCs w:val="20"/>
          <w:color w:val="auto"/>
        </w:rPr>
      </w:pPr>
    </w:p>
    <w:p>
      <w:pPr>
        <w:jc w:val="both"/>
        <w:ind w:left="980" w:hanging="324"/>
        <w:spacing w:after="0" w:line="25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E-Commerce Law of PRC, e-commerce platform operators who fail to take necessary actions when they know or should have known that the merchants on their platform infringe others’ personal or property safety, or the products or services provided by the merchants do not meet the requirements for product safety, or otherwise infringe upon consumers’ legitimate rights, will be held jointly liable with the merchants. Additionally, with respect to the products or services affecting consumers’ life and health, the e-commerce platform operators will bear responsibilities if they fail to review the qualifications of merchants or fail to safeguard the interests of the consumers. We may be held responsible if the agricultural products sold through our platform caused harm to the interests and health of consumers.</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Measures for the Supervision of Online Transactions (as amended in 2025) also require e-commerce platforms to timely remind individual merchants to register with local branches of SAMR if their total annual transaction volume across different platforms exceeds RMB100,000. Our policy expressly requires merchants on our platform that are captured by these rules to complete the registrations. We may lose existing or potential merchants who do not or are unwilling to comply with the registration and related requirements, and we may be found liable under the E-Commerce Law and related regulations if we are deemed to have failed to implement the required procedures. Furthermore, the Measures for the Supervision and Administration of Online Trading Platform Rules (promulgated by SAMR and CAC, effective February 1, 2026) impose systematic compliance requirements on the formulation, revision and implementation of platform rules. These new rules prohibit platforms from using platform rules to force merchants to accept “refund-only” policies, to subscribe to non-essential value-added services such as shipping insurance, to participate in promotional activities against their will, or to operate exclusively on a single platform. Compliance with these new measures may increase our operating costs and expose us to additional administrative penalties for any non-compliance.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ind w:left="324" w:hanging="324"/>
        <w:spacing w:after="0" w:line="254"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other things, the Interim Provisions for Regulating Promotional Activities of PRC, or the Interim Provisions, was designed to promote consumer protection and prohibit false or misleading commercial information used in promotional activities. As a platform operator, we are required by the Interim Provisions to design rules and procedures to foster fair and transparent merchandise promotional activities, and assist the authorities in their investigation of violations by platform merchants, which will result in additional compliance costs. In addition, business operators in mainland China are prohibited from inducing consumers into transactions via misleading pricing terms or engaging in other anti-competitive conducts associated with product price. The Rules on Pricing Behavior of Internet Platforms (jointly issued by NDRC, SAMR and CAC, effective April 10, 2026) further impose systematic requirements on platform pricing, promotions and fees, which may increase our compliance burden. If we are found to have violated these laws and regulations, we may be subject to fines and other administrative penalties.</w:t>
      </w:r>
    </w:p>
    <w:p>
      <w:pPr>
        <w:spacing w:after="0" w:line="188" w:lineRule="exact"/>
        <w:rPr>
          <w:rFonts w:ascii="Times New Roman" w:cs="Times New Roman" w:eastAsia="Times New Roman" w:hAnsi="Times New Roman"/>
          <w:sz w:val="18"/>
          <w:szCs w:val="18"/>
          <w:color w:val="auto"/>
        </w:rPr>
      </w:pPr>
    </w:p>
    <w:p>
      <w:pPr>
        <w:jc w:val="both"/>
        <w:ind w:left="324" w:hanging="324"/>
        <w:spacing w:after="0" w:line="254"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Anti-Monopoly Compliance Guidelines for Internet Platforms (issued by SAMR on February 13, 2026), business practices such as deploying big data analytics to set discriminatory terms for merchandise price or other transaction terms, coercive exclusivity arrangements with transaction counterparties, blocking of competitor interface through technological means, unlawful collection of user data without consent, algorithmic collusion among platforms, organizing or assisting merchants to reach monopoly agreements, unfairly high pricing, below-cost sales, “choose-one-of-two” practices, and “nationwide lowest price” requirements, are prohibited. Since these Guidelines have been formally promulgated and are in effect, the regulatory framework for platform anti-monopoly compliance has become more concrete. However, as enforcement practices continue to evolve, there remains some uncertainty as to how certain provisions will be interpreted and applied in specific circumstances. If we are found to have any non-compliance issues by the authorities, we may be subject to fines and other penalties.</w:t>
      </w:r>
    </w:p>
    <w:p>
      <w:pPr>
        <w:spacing w:after="0" w:line="188"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Interim Provisions on Anti-Unfair Competition in the Internet (SAMR Order No. 91, effective September 1, 2024) enhance the responsibilities of platform operators, who are required to strengthen the regulation of competitive behaviors within the platform. According to regulations, if platform operators discover that operators within the platform engage in unfair competitive practices, sell goods or provide services illegally, or infringe upon the legitimate rights and interests of consumers, they must take timely measures, preserve relevant records, and report to the market supervision authorities at county level or above where the platform operator is located; otherwise, the platform operators will face certain administrative penalties. The Internet Anti-Unfair Competition Provisions also raise the compliance requirements for platforms, for example, platform operators are not allowed to use service agreements, transaction rules, or other means by the operators within the platform to impose unreasonable restrictions or attach unreasonable conditions on the transactions, transaction prices, and dealings with other operators within the platform, and platform operators should fairly and reasonably determine the service charges in the service agreements and transaction rules. Moreover, the newly revised Anti-Unfair Competition Law of the PRC (adopted on June 27, 2025, effective October 15, 2025) has expanded the scope of prohibited unfair competition practices and increased penalties for violations. These developments may result in additional compliance costs and increased enforcement risks for our platform.</w:t>
      </w:r>
    </w:p>
    <w:p>
      <w:pPr>
        <w:spacing w:after="0" w:line="189" w:lineRule="exact"/>
        <w:rPr>
          <w:rFonts w:ascii="Times New Roman" w:cs="Times New Roman" w:eastAsia="Times New Roman" w:hAnsi="Times New Roman"/>
          <w:sz w:val="18"/>
          <w:szCs w:val="18"/>
          <w:color w:val="auto"/>
        </w:rPr>
      </w:pPr>
    </w:p>
    <w:p>
      <w:pPr>
        <w:jc w:val="both"/>
        <w:ind w:left="324" w:hanging="324"/>
        <w:spacing w:after="0" w:line="220" w:lineRule="exact"/>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laws or regulations in mainland China governing property rights of virtual currency on our business has yet to be assessed, and it is not clear what liabilities, if any, we may have relating to the loss of virtual currency by merchants. Merchants on our platform purchase Tian Bi (</w:t>
      </w:r>
      <w:r>
        <w:rPr>
          <w:rFonts w:ascii="SimSun" w:cs="SimSun" w:eastAsia="SimSun" w:hAnsi="SimSun"/>
          <w:sz w:val="18"/>
          <w:szCs w:val="18"/>
          <w:color w:val="auto"/>
        </w:rPr>
        <w:t>田币</w:t>
      </w:r>
      <w:r>
        <w:rPr>
          <w:rFonts w:ascii="Times New Roman" w:cs="Times New Roman" w:eastAsia="Times New Roman" w:hAnsi="Times New Roman"/>
          <w:sz w:val="18"/>
          <w:szCs w:val="18"/>
          <w:color w:val="auto"/>
        </w:rPr>
        <w:t>) to exchange value-added services we offer. However, Tian Bi is not a virtual currency that is exchangeable into Renminbi or any other currencies or can be consumed on any other platforms. The mainland China government may re-evaluate or amend the virtual currency related laws and regulations or policies to strengthen the supervision on issuance and operation of such virtual currencies. It is unclear who is the legal owner of virtual items and whether the ownership of virtual items is protected by law. Although we have not been involved in any virtual items related lawsuits previously, we cannot assure you that such lawsuits will not be brought against us in the future. Any adverse changes in the laws and regulations or policies could impose liabilities on us for loss of virtual currency by merchants on our platform. In addition, laws and regulations of mainland China regulating virtual currency are designed for online games. We believe Tian Bi is not a kind of “game virtual currency” that is subject to the Circular of the Ministry of Culture and the Ministry of Commerce on Strengthening the Administration of Virtual Currencies for Online Gaming and other related regulations. However, we cannot assure you that the MOC and MOFCOM will hold the same view with us. If the government authorities regard Tian Bi in our platform as a kind of “game virtual currency” or new laws and regulations related to virtual currency used on an e-commerce platform are promulgated in the future, we may incur additional expenses or invest considerable resources in complying with those requirements.</w:t>
      </w:r>
    </w:p>
    <w:p>
      <w:pPr>
        <w:spacing w:after="0" w:line="200" w:lineRule="exact"/>
        <w:rPr>
          <w:sz w:val="20"/>
          <w:szCs w:val="20"/>
          <w:color w:val="auto"/>
        </w:rPr>
      </w:pPr>
    </w:p>
    <w:p>
      <w:pPr>
        <w:spacing w:after="0" w:line="21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25" w:name="page26"/>
    <w:bookmarkEnd w:id="2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light of the evolving legislative activities and varied local implementation practices of consumer protection, anti-monopoly and competition laws and regulations in relation to e-commerce in mainland China, compliance with these laws, regulations, rules, guidelines and implementations may be costly, and any incompliance or associated inquiries, investigations and other governmental actions may divert significant management time and attention and our financial resources, bring negative publicity, subject us to liabilities or administrative penalties, and may materially and adversely affect our financial conditions, operations and business prospects.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complex and evolving laws and regulations regarding cybersecurity, data privacy and data protection. Actual or alleged failure to comply with cybersecurity, data privacy and data protection laws and regulations could damage our reputation, deter current and potential users from using our services and subject us to significant legal, financial and operational consequences</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Our business generates and processes a large amount of data, and we are subject to laws and regulations regarding cybersecurity, data privacy and data protection in mainland China. The legal landscape in this area has undergone significant changes in the past two years. For example, the Standing Committee of the National People’s Congress adopted the amendments to the Cybersecurity Law on October 28, 2025, which took effect on January 1, 2026, marking the first major revision of this foundational cybersecurity law since its enactment in 2016. The amendments expand the scope of cybersecurity obligations, impose stricter penalties with maximum fines increased to RMB10 million for serious violations, and introduce provisions supporting the development and regulation of artificial intelligence. The mainland China government has enacted a series of laws and regulations on the protection of personally identifiable data in recent years. For example, the CAC released jointly with several other administrations the Cybersecurity Review Measures on December 28, 2021, which became effective on February 15, 2022, and underwent further revisions around September 2025. Pursuant to the Cybersecurity Review Measures, network platform operators that possess personal information of over one million individual users shall be subject to cybersecurity review before listing abroad. Any failure to timely complete the required cybersecurity review may result in regulatory sanctions including, among others, government enforcement actions and investigations, fines, penalties, and suspension of our non-compliant operations, as well as reputational damage or legal proceedings or actions against us, any of which may have material adverse effects on our business, financial condition and results of operations. As a network platform operator who possesses personal information of more than one million users for purposes of the Cybersecurity Review Measures, we have applied for and completed a cybersecurity review with respect to our initial public offering pursuant to the Cybersecurity Review Measures. According to the Regulations on Network Data Security Management promulgated by the State Council on September 24, 2024, a network data processor that handles the personal information of more than 10 million people is considered a processor of important data. Processors of important data are required to adopt stricter data security management measures, such as conducting annual risk assessments of their network data processing activities and submitting risk assessment reports to the relevant authorities at provincial level or above. In cases of mergers, divisions, dissolutions, bankruptcies, or other circumstances that may affect the security of important data, the processors of important data shall take measures to ensure the security of network data, and report to the relevant authorities at provincial level or above on the disposal plan for key data, the name and contact information of the recipient. Failure to fulfill these obligations may result in administrative penalties, including fines, suspension of business, and revocation of business qualifications or even business licenses. Furthermore, the National Internet Information Office issued the Measures for the Administration of Personal Information Protection Compliance Audits, which took effect on May 1, 2025. Under these measures, personal information processors processing the personal information of more than 10 million individuals are required to conduct personal information protection compliance audits at least once every two years. Other personal information processors are required to conduct such audits periodically based on their specific circumstances. Failure to comply may result in enforcement actions and penalties. In the area of cross-border data transfers, the Measures for Certification of Personal Information Export, jointly issued by the CAC and the State Administration for Market Regulation on October 17, 2025, took effect on January 1, 2026. This measure establishes the certification pathway for personal information export, completing the full framework of China’s cross-border data transfer regulatory system, which now includes security assessment, standard contract, and certification as the three primary compliance pathways. These evolving requirements may increase our compliance costs and expose us to additional regulatory risks. See “Item 4. Information on the Company—B. Business Overview—Regulations— Regulations Relating to Cybersecurity, Information Security Protection.”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ensuring our compliance with the evolving data privacy and protection laws in mainland China have increased our operating cost. While we have adopted a rigorous and comprehensive policy for the collection, processing, sharing, disclosure authorization and other aspects of data use and privacy and taken necessary measures to comply with all applicable laws and regulations, we cannot guarantee the effectiveness of these policies and measures undertaken by us. Additionally, the effectiveness of our privacy and data protection measures is also subject to system failure, interruption, inadequacy, security breaches or cyberattacks. Any failure or perceived failure to comply with all applicable laws and regulations, or any failure or perceived failure of our business partners to do so, or any failure or perceived failure of our employees to comply with our internal control measures, may result in negative publicity and legal proceedings or regulatory actions against us, and could result in fines, revocation of licenses, suspension of operations or other legal or administrative penalties, which may in turn damage our reputation, discourage current and potential users and subject us to damages, which could have a material adverse effect on our business and results of operations.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any inability to adequately address data privacy or security-related concerns, complaints, inquiries or allegations, even if unfounded, when they arise, or to comply with applicable laws, regulations, standards and other obligations relating to data privacy and security, could result in additional cost and liability to us, harm our reputation and brand, damage our relationships with merchants, impair users’ trust in our privacy practices and make them reluctant to give their consent to share their data with us. As a result, our ability to retain or increase our membership base and member engagement may be materially and adversely affected, and we may not be able to maintain or grow our revenue as anticipated, all of which would have a material and adverse effect on our business, financial condition and results of operation.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and our counterparties, including business partners and external service providers, might be subject to contractual obligations regarding the processing of personal information. While we believe our conduct and our counterparties’ conduct under these agreements are in material compliance with all applicable laws, regulations, standards, certifications and orders relating to data privacy or security, we or our counterparties may fail, or be alleged to have failed, to be in full compliance. In the event that our acts or omissions result in alleged or actual failure to comply with applicable laws, regulations, standards, certifications and orders relating to data privacy or security, we may incur liability. While we endeavor to include indemnification provisions or other protections in the agreements we enter into with our counterparties to mitigate liability and losses stemming from our counterparties’ acts or omissions, we may not always be able to obtain such protections and, even where we can, there is no guarantee that our counterparties will honor such provisions or that such protections will cover the full scope of our liabilities and losses. Any failure or perceived failure of compliance by us or our counterparties may result in proceedings or actions against us, which could harm our reputation and have a material adverse effect on our business and prospects.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laws and regulations regarding cybersecurity, data privacy and data protection are complex and evolving, and the interpretation and application thereof will be determined on an ad hoc basis depending on the facts and circumstances. These laws and regulations and other similar legal and regulatory developments could affect how we operate our platform, render services and process data, which could negatively impact demand for our services and the efficiency of our services to users. We may incur substantial costs to comply with such new laws and regulations, meet the demands of our users relating to their own compliance with applicable laws and regulations and establish and maintain internal compliance policies. If we are unable to comply with the then-applicable laws and regulations, or to address any privacy and data protection concerns, such actual or alleged failure could damage our reputation, deter current and potential users from using our solutions and could subject us to significant legal, financial, and operational consequences.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deal with any fictitious transactions or other fraudulent conduct would materially and adversely affect our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face risks with respect to fraudulent activities on our platform. For example, merchants on our platform may engage in fictitious or “phantom” transactions with themselves or their collaborators in order to artificially inflate their own ratings on our platform, reputation and search results rankings. This activity may harm other sellers by enabling the perpetrating seller to be favored over legitimate sellers, and may harm consumers by deceiving them into believing that a seller is more reliable or trusted than the seller actually is. This activity may also result in inflated transaction volume on our online marketplace. Other parties may also engage in similar or other fraudulent or illegal activities on our platform. See also “—Illegal, improper or otherwise inappropriate activity of sellers, buyers, other users or our employees, whether or not occurring while utilizing our platform, could expose us to liability and harm our business, brand, financial condition and results of operations” for more details. Although we have implemented various measures to detect and reduce the occurrence of fraudulent activities on our platform, there can be no assurance that such measures will be effective in combating fraudulent. Such fictitious transactions and fraudulent conduct may subject us to lawsuits, regulatory investigations, fines and penalties.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illegal, fraudulent or collusive activities by our employees, such as fraud, bribery or corruption, could also subject us to liability, negative publicity or losses. Although we have adopted internal control procedures and policies governing the review and approval of sales activities and other matters, we cannot assure you that such procedures and policies will effectively prevent fraud or illegal activity by our employees. Any actual or alleged fraudulent or deceptive conduct by our employees could result in negative publicity and severely impair our members’ confidence and trust in us, damage our reputation and diminish the value of our brands, and impact our ability to attract new or retain current members, which would materially and adversely affect our business, financial condition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proper functioning of our technology platform is essential to our business. Any failure to maintain the satisfactory performance of our mobile apps and websites or any disruption to our technology systems could materially and adversely affect our ability to deliver consistent services to users of our platform and harm our business and reputation.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proper functioning of our technology systems is essential to our business. The satisfactory performance, reliability and availability of our technology systems are critical to our success, our ability to attract and retain merchants and our ability to maintain and deliver consistent services to merchants. However, our technology infrastructure may fail to keep pace with increased transaction volumes on our platform, especially with respect to our new product and service offerings, and therefore merchants on our platform may experience delays as we seek to source additional technological capacity, which could impair the merchants’ user experience and harm our reputation and would adversely affect our results of operations.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need to continue to upgrade and improve our technology infrastructure to support our business growth. However, we cannot assure you that we will be successful in executing these infrastructure upgrades, and the failure to do so may impede our growth. We currently rely on cloud services and servers operated by external cloud service providers to store our data, which allows us to analyze a large amount of data simultaneously and to update our user database and user profiles quickly. Any interruption or delay in the functionality of these external cloud service and server providers may materially and adversely affect the operations of our business.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be unable to monitor and ensure high-quality maintenance and upgrade of our technology systems and infrastructure on a real-time basis, and users may experience service outages and delays in accessing and using our platform. In addition, we may experience surges in online traffic and orders associated with promotional activities and generally as we scale, which can put additional demand on our platform at specific times. Our technology or infrastructure may not always function properly. We face the risk of system interruptions caused by telecommunications failures, computer viruses, hacking or other attempts to harm our systems. Such interruptions may result in the unavailability or slowdown of our platform and compromise the quality of our services, which in turn could potentially diminish the volume of products sold and negatively impact the overall appeal of our platform. Our servers may also be vulnerable to computer viruses, physical or electronic break-ins and similar disruptions, which could lead to system interruptions, slowdown or unavailability of mobile app, delays or errors in transaction processing, loss of data or the inability to provide high-quality services to our platform users. The occurrence of any of such incidents could cause significant disruption to our daily operations. As a result, our reputation may suffer material and adverse impacts, leading to potential decline in our market share and exposing us to liability claims.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adopt new technologies such as data analytics or adapt our website, mobile applications and systems to changing user requirements or emerging industry standards, our business may be materially and adversely affected.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remain competitive, it is imperative that we continually enhance and improve the responsiveness, functionality and features of our mobile applications and website. The internet technology industry undergoes rapid technological evolution, accompanied by evolving user requirements and preferences, and the frequent introductions of new services based on new technologies and the emergence of new industry standards and practices, any of which could render our existing technologies and systems obsolete. If we do not spend our development budget efficiently on commercially successful and innovative technologies, we may not realize the expected benefits of our strategy. We also cannot assure you that we will be able to effectively use new technologies or adapt our website, mobile applications, proprietary technologies and systems to meet evolving user requirements or emerging industry standards. If we are unable to adapt in a cost-effective and timely manner in response to changing market conditions or user requirements, whether for technical, legal, financial or other reasons, our business, prospects, financial condition and results of operations may be materially and adversely affected.</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identify, develop, acquire or license leading technologies that are useful for our business, and to respond to technological advances such as data analytics and emerging industry standards and practices in a cost-effective and timely manner. A core functionality of our platform is to effectively match sellers with suitable business buyers and other users on our platform, which is heavily reliant on our customized recommendation and data analytics technology capabilities. As a result, our technology capabilities play a vital role in retaining and attracting merchants to our platform. We have made substantial investments in developing and applying new technologies, including machine learning and data analytics, across our platform and in our services and solutions. We intend to continue investing significant resources in developing new technologies and offerings of services and products. We have also incurred significant amount of research and development expenses for the development of these technologies. If our investments in research and development fail to yield satisfactory results, we may encounter challenges in effectively matching sellers with suitable buyers or providing optimal product recommendations to merchants. As a result, merchants may switch to a competitor platform if ours fail to meet their expectations. In addition, effective management of some of the other important aspects of our operations, such as sales and marketing activities, also relies on our informed decision-making supported by our data analytics and other technologies. Any failure to improve our technology capabilities in data analytics and other technologies, or any shortcomings in producing satisfactory results with our technology capabilities, may materially and adversely affect our user retention, financial condition and results of operations.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new initiatives, such as agricultural sourcing and trading services, also carry a high level of risk, as each involves emerging industries and unproven business strategies and technologies, for which we may have limited or no prior development or operational experience. Because such offerings are new and the technologies used to support them are evolving rapidly, they will likely involve unforeseen expenses, regulatory challenges, and other risks. There can be no assurance that demand for such initiatives will exist or be sustained at the levels that we anticipate, or that any of these initiatives will gain sufficient traction or market acceptance to generate sufficient revenues to offset any new expenses or liabilities associated with these new investments. It is also possible that competing service and product offerings developed by others may render our service and product offerings less competitive or outdated. Further, our development efforts with respect to new service and product offerings and technologies could distract management from current operations, and will divert capital and other resources from our more established service and product offerings and technologies. Even if we succeed in developing new service and product offerings or technologies, regulatory authorities may subject us to new rules or restrictions in response to our innovations, which could increase our expenses or prevent us from successfully commercializing these new initiatives. If we do not realize the expected benefits from our investments, our business, financial condition, operating results, and prospects may be adversely impacted. See also “—If we are unable to effectively manage our growth or implement our business strategies, our business, financial condition and results of operations may be materially and adversely affected.”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effectively manage our growth or implement our business strategies, our business, financial condition and results of operations may be materially and adversely affected.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has become increasingly complex in terms of both the type and scale of business we operate. Any further expansion may increase the complexity of our operations and place a significant strain on our managerial, operational, financial and human resources. Our current and planned personnel, systems, procedures and controls may not be adequate to support our future operations. We cannot assure you that we will be able to effectively manage our growth or to implement these systems, procedures and control measures successfully. If we are unable to do so, our business and prospects may be materially and adversely affected.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also actively pursuing various growth initiatives, strategies and operating plans to enhance our business. Specifically, we are implementing a number of monetization strategies to boost our revenue growth, including increasing our investment in agricultural sourcing and trading services. Additionally, we plan to further strengthen our position as a market leader in the agricultural B2B industry in China. To further support our growth, we plan to continue to invest in infrastructure development and technology innovation. All of these initiatives and efforts will require significant managerial, financial and human resources, and we cannot assure you that our business strategies will be successfully implemented or generate sustainable revenues and profit or that our new business initiatives will be successful. If we are not able to manage our growth or execute our strategies effectively, our expansion efforts may not be successful and our business and prospects may be materially and adversely affected. In particular, the monetization strategies in relation to new business initiatives are new and still evolving, some of which are at the inception or trial stage and may prove to be unsuccessful. It may also take longer than expected for us to achieve a desired market share in a highly competitive environment, or for merchants to accept the newly launched services.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anticipated benefits from these efforts are based on assumptions that may prove to be inaccurate. If, for any reason, the benefits we realize fall short of our estimates or if the implementation of these growth initiatives, strategies and operating plans negatively impact our operations, exceed expected costs, or take longer to effectuate than we expect, or if our assumptions are proven inaccurate, our business, financial condition and results of operations may be materially and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challenges in expanding service and product offerings on our platform.</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sellers on our platform offer a wide range of agricultural products, including vegetables, fruit, pasture products, seeds and seedlings, aquatic products, herbal medicine, agricultural and sideline products, nuts and dried fruit, tea, oil crops, industrial crops, mushroom and fungi, cattle feed, agricultural groceries, fertilizer, flower and bonsai, pesticide, agricultural equipment and facilities, and more. Expansion of product offerings in both categories and items introduce new risks and challenges. Our limited familiarity with these products and lack of buyer data relating to these products may make it challenging for us to accurately anticipate buyer demand and preferences, inspect and control quality and ensure proper handling and delivery. As a result of selling such products, sellers may experience undesirable sales volume, receive increasing number of buyer complaints about such products and face costly product liability claims, which could harm our brand and reputation as well as our financial performance. We may also be involved in disputes with sellers in connection with these claims and complaints.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we broaden the range of our product offerings, we will need to efficiently collaborate with a large number of new sellers while establishing and maintaining mutually beneficial relationships with our existing and new sellers. To support our growth and our expansion, we will need to devote management, operating, financial and human resources which may divert our attention from existing businesses, incur upfront costs, and require the implementation of a variety of new and upgraded management, operating, financial and human resource systems, procedures and controls. There is no assurance that we will be able to implement all of these systems, procedures and control measures successfully or address the various challenges in expanding our future businesses and operations effectively. It may also be difficult for us to achieve profitability in the new product categories and our profit margin, if any, may be lower than initially anticipated, which would adversely affect our overall results of operations. We cannot assure you that we will be able to recoup our investments in introducing these new product categories.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lack of requisite approvals, licenses or permits applicable to our business may subject us to administrative penalties or other government sanctions and have a material and adverse effect on our business, financial condition and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accordance with the laws and regulations of mainland China, we are required to maintain various approvals, licenses, permits and filings to operate our business. As advised by Global Law Office, as of the date of this annual report, our PRC counsel, our mainland China subsidiaries and the VIEs have obtained all material licenses and permits from the mainland China government authorities that are necessary for our business operations in mainland China. However, the interpretation of the legal requirements regarding certain licenses and permits is determined by the government authorities on an ad hoc basis depending on the facts and circumstances. We cannot assure you that the government authorities’ current interpretation on such licensing requirements will remain the same in the future. In addition, with respect to the business (including the business content and business model) we currently operate or will operate in the future, government authorities may require us to obtain additional licenses or permits or provide stricter supervision requirements with respect to the manner and scope of our operations. We cannot guarantee that we will not be subject to any penalties, sanctions, fines or other administrative measures as a result of non-compliance with any of our past operations. If we or the VIEs are determined necessary to obtain relevant licenses, there is no guarantee that we or the VIEs would be able to obtain such licenses or permits or meet all the supervision requirements in a timely manner, or at all. If we or the VIEs fail to do so, we may not be able to continue our ordinary course of business consistent with past practice, or at all, and may also be subject to fines and certain other penalties.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to grow and operate our business, and if we are unable to hire, retain, manage, and motivate our key personnel, our business may be harmed.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future success depends on our continued ability to identify, hire, develop, manage, motivate, and retain qualified personnel, particularly those who have specialized skills and experience in technology fields and the agriculture industry. Further, we may not be able to retain the services of our key employees or other members of senior management in the future. In particular, we rely on Mr. Jinhong Deng, our founder, chairman and chief executive officer, who is critical to our business and strategic direction.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maintain key person life insurance for any member of our senior management. Any changes in our senior management team may be disruptive to our business. If we fail to retain or effectively replace members of our senior management team, or if our senior management team fails to work together effectively and to execute our plans and strategies, our business could be harmed.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growth strategy also depends on our ability to expand our organization by attracting and retaining high-quality personnel. Identifying, recruiting, training, integrating, managing, and motivating talented individuals will require significant time, expense, and attention. Competition for talent is intense. In particular, hiring for technical personnel is highly competitive in China. If we are unable to effectively attract and retain qualified personnel, our business could be harmed.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commercial banks for payment processing and escrow services on our platform. If these payment services are restricted or curtailed in any way, are offered to us on less favorable terms, or become unavailable to us or our merchants for any reason, our business may be materially and adversely affected.</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online payments for products sold on our platform are settled through commercial banks. Our business depends on the billing, payment and escrow systems of these payment service providers to maintain accurate records of payments of sales proceeds by buyers and collect such payments. If the quality, utility, convenience or attractiveness of these payment processing and escrow services declines, or we have to change the pattern of using these payment services for any reason, the attractiveness of our platform could be materially and adversely affected.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Business involving online payment services is subject to a number of risks that could materially and adversely affect third-party online payment service providers’ ability to provide payment processing and escrow services to us, including:</w:t>
      </w:r>
    </w:p>
    <w:p>
      <w:pPr>
        <w:spacing w:after="0" w:line="162"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dissatisfaction with these online payment services or decreased use of their services by buyers and sellers;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including from other established Chinese internet companies, payment service providers and companies engaged in other financial technology services;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rules or practices applicable to payment systems that link to commercial banks;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buyers’ personal information and concerns over the use and security of information collected from buyers;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outages, system failures or failures to effectively scale the system to handle large and growing transaction volumes;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costs to commercial banks, including fees charged by banks to process transactions through online payment channels, which would also increase our costs of revenues;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manage funds accurately or loss of funds, whether due to employee fraud, security breaches, technical errors or otherwise.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particular, secured transmission of confidential information such as credit card numbers and personal information over public networks is essential to maintain merchant confidence. We do not have control over the security measures of online payment vendors, and security breaches of the online payment systems that we use could expose us to litigation and possible liability for failing to secure confidential merchant information and could, among other things, damage our reputation and the perceived security of all of the online payment systems that we use. If a well-publicized internet or mobile network security breach were to occur, sellers and buyers concerned about the security of their online financial transactions may become reluctant to transact through our platform even if the publicized breach did not involve payment systems or methods used by us. In addition, there may be billing software errors that would damage user confidence in these online payment systems. If any of the above were to occur and damage our reputation or the perceived security of the online payment systems we use, we may lose users and users may be discouraged from purchasing on our website, which may have an adverse effect on our business.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certain commercial banks in China impose limits on the amounts that may be transferred by automated payment from buyers’ bank accounts to their linked accounts with online payment services. We cannot predict whether these and any additional restrictions that could be put in place would have a material adverse effect on our platform.</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commercial banks that we work with are subject to the supervision of the People’s Bank of China, or the PBOC. The PBOC may publish rules, guidelines and interpretations from time to time regulating the operation of financial institutions and payment service providers that may in turn affect the pattern of services provided by such entities for us. For example, in November 2017, the PBOC published a notice, or the PBOC No. 217 Notice, on the investigation and administration of illegal offering of settlement services by financial institutions and third-party payment service providers to unlicensed entities. The PBOC No. 217 Notice intended to prevent unlicensed entities from using licensed payment service providers as a conduit for conducting the unlicensed payment settlement services, so as to safeguard the fund security and information security. In connection with provision of settlement services, Yimutian Xinnong entered into a cooperative agreement on payment services with CITIC Bank Co., Ltd. Beijing Branch in August 2018, pursuant to which the commercial bank, as a licensed payment company, opens an internal special account to receive payment from buyers and provide settlement services to sellers on our platform. Douniu Technology also entered into a similar cooperative agreement on payment services with Ping An Bank Co., Ltd. Shenzhen Branch in December 2019. We believe that our practice of receiving settlement services from commercial banks is not in violation of the PBOC No. 217 Notice because the commercial bank opens an internal special account to receive payment from the buyers and we will submit to the bank materials verifying the truthfulness of the transactions and the bank will also verify other information if it deems necessary before it distributes the payment to merchants and us. In addition, in October 2024, our PRC counsel consulted with the PBOC Beijing Branch, the competent authority in respect of payment business in China, which confirmed that it would not actively take regulatory actions against the companies that received settlement services from commercial banks. However, we cannot assure you that if required by the PBOC or new legislation, our cooperative payment service providers will not suspend their services or explore new models to offer their services to us, in which case we may not be able to claim our ownership and exclusive control of the payments from the buyers in the bank accounts opened with the relevant commercial banks, and we may incur additional expenses or invest considerable resources in complying with the requirements. If the PBOC or other government authorities deem our cooperation with payment service providers to be violative of law, we may also have to suspend or terminate our cooperation with these payment service providers or explore new models for using their services.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cannot assure you that we will be successful in entering and maintaining amicable relationships with these commercial banks and online payment service providers. Identifying, negotiating and maintaining relationships with these providers require significant time and resources. Our current agreements with these service providers also do not prohibit them from working with our competitors. They could choose to terminate their relationships with us or propose terms that we cannot accept. Moreover, we cannot guarantee that the terms we negotiated with these payment service providers, including the payment processing fee rates, will remain as favorable. If the terms with these payment service providers become less favorable to us, such as the increase of payment processing fee rate, we may have to raise the transaction services fees for certain of our merchants, which may cause us to lose merchants, or absorb the additional costs by ourselves, both of which may materially and adversely affect our business, financial condition and results of operations. Furthermore, these service providers may not perform as expected under our agreements with them, and we may have disagreements or disputes with such payment service providers, any of which could adversely affect our brand and reputation as well as our business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Our online marketing services constitute internet advertisement, which subjects us to laws, rules and regulations applicable to advertising.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provide online marketing services to sellers of agricultural products. Pursuant to the Measures on Internet Advertisement, or the Internet Advertisement Measures, which was promulgated by SAMR and took effect in May 2023 to regulate any advertisement published on the internet, including but not limited to, through websites, webpage and apps, in the form of narrative, picture, audio and video, the Advertising Law and the relevant provisions of the Internet Advertisement Measures apply to the internet information service providers. As such, our online marketing services and other related services constitute internet advertisement. See “Item 4. Information on the Company—B. Business Overview—Regulations—Regulations Relating to Advertisement” for more details.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PRC advertising laws, rules and regulations require advertisers, advertising operators and advertising distributors to ensure that the content of the advertisements they prepare or distribute is fair and accurate and is in full compliance with applicable law. Violation of these laws, rules or regulations may result in penalties, including fines, confiscation of advertising fees and orders to cease dissemination of the advertisements. In circumstances involving serious violations, the mainland China government may suspend or revoke a violator’s business license or license for operating advertising business. In addition, the Internet Advertising Measures requires paid search results to be distinguished from natural search results so that consumers will not be misled as to the nature of these search results. As such, we are obligated to distinguish others from the merchants who purchase online marketing and related services or the listings by these merchants. Any penalties or fines for any failure to comply with these requirements may significantly reduce the attractiveness of our platform and increase our costs and could have a material adverse effect on our business, financial condition and results of operations.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PRC advertising laws and regulations prohibit or restrict certain types of advertising. For example, advertisements for certain products such as tobacco are not allowed to be published, and advertisements for other products and services such as fodder, seeds, breeding livestock and poultry, aquatic seedlings and breeding are subject to certain content restrictions and other regulations. Moreover, for advertising content related to specific types of products and services, advertisers, advertising operators and advertising distributors must confirm that the advertisers have obtained requisite government approvals, including the advertiser’s operating qualifications, proof of quality inspection of the advertised products, and, with respect to certain industries, government approval of the content of the advertisement and filing with the local authorities. Pursuant to the Internet Advertising Measures, we are required to take steps to monitor the content of advertisements displayed on our platforms. Complying with the abovementioned requirements requires considerable resources and time, and could significantly affect the operation of our business, while at the same time also exposing us to increased liability under relevant laws, rules and regulations. The costs associated with complying with these laws, rules and regulations, including any penalties or fines for our failure to so comply if required, could have a material adverse effect on our business, financial condition and results of operations. Any further change in the classification of our online marketing and other related services by the mainland China government may subject us to additional legal and regulatory requirements, which may significantly impact our operations and materially affect our business and prospects.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Illegal, improper or otherwise inappropriate activity of sellers, buyers, other users or our employees, whether or not occurring while utilizing our platform, could expose us to liability and harm our business, brand, financial condition and results of operations.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rely on sellers and stallholders at wholesale markets to supply and sell agricultural products on our platform and on truck drivers or third-party couriers to deliver agricultural products to wholesale markets and business buyers. Illegal, improper or otherwise inappropriate activities, which may include assault, abuse, theft and other misconducts, of sellers, buyers or other platform participants or our employees, including such activities by individuals who may have previously participated in our platform but no longer receive or provide services offered through it, or those by individuals who intentionally impersonate users of our platform, could adversely affect our brand, business, financial condition and results of operations. While we have implemented various measures intended to anticipate, identify and address the risk of these types of activities, these measures may not adequately address or prevent all illegal, improper or otherwise inappropriate activity by other parties and we may not be able to exercise effective control over the conduct of other parties including our employees. In the event of any unsatisfactory performance, lack of certain qualifications or licenses, misconduct, or illegal acts, such as dishonesty, personal torts or extortion, by parties other than our employees, result in any disputes, such disputes may involve us and we may suffer reputational and financial damage even if we are not held liable. At the same time, if the measures we have taken to guard against these illegal, improper or otherwise inappropriate activities are too restrictive and inadvertently prevent or discourage sellers, buyers or other platform participants from remaining engaged on our platform, or if we are unable to implement and communicate these measures fairly and transparently or are perceived to have failed to do so, the growth and retention of the number of sellers, buyers and other platform participants on our platform and their utilization of our platform could be negatively impacted. Further, any negative publicity related to the foregoing, whether such incident occurred on our platform or on our competitors’ platforms, could adversely affect our reputation and brand, which could negatively affect demand for platforms like ours, and potentially lead to increased regulatory or litigation exposure. Any of the foregoing risks could harm our business, financial condition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may experience seasonal fluctuations.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and operating results may experience seasonality and are not necessarily indicative of future performance. For example, there is typically a decline of fruit procurement in July and around the Chinese New Year, while the procurement amounts during spring and fall are generally higher than other periods of a year. This is mainly because summer procurements of vegetable and fruit are primarily sourced locally, rather than remotely from other cities or provinces through online platforms. In addition, user activities on our platform were relatively less frequent during the Chinese New Year holiday in the first quarter of each year and the summer months mainly due to the impact of natural disasters such as flood in cultivation sites and key logistics nexuses for the circulation of agricultural products. As a result, our operating results in the second and fourth quarters of a calendar year are generally higher than those of other quarters. In addition to seasonality, other factors, many of which are out of our control, can also cause fluctuations in our operating results, such as our ability to attract and retain merchants, shifts in merchants’ needs and behavior patterns, our ability to effectively manage our growth, potential harm to our brand or reputation, changes in regulatory environments, and other risks described elsewhere in this annual report. There can be no assurance that our historical operating patterns will continue in future periods, as many of these factors are unpredictable and beyond our control or influence. The quarterly fluctuations in our revenue and results of operations could result in volatility and cause the price of our ADSs to decline.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 over financial reporting, we may be unable to accurately report our results of operations and prevent fraud, and investor confidence and the market price of our ADSs may be materially and adversely affected.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 and procedures, are designed to prevent fraud. In the course of preparing and auditing our consolidated financial statements, we and our independent registered public accounting firm identified one material weakness in our internal control over financial reporting as of December 31, 2025, in accordance with the standards established by the PCAOB. According to the U.S. Public Company Accounting Oversight Board, or the PCAOB, a “material weakness” is a deficiency, or a combination of deficiencies, in internal control over financial reporting, such that there is a reasonable possibility that a material misstatement of our company’s annual or interim consolidated financial statements will not be prevented or detected on a timely basis.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material weakness that has been identified relates to our lack of sufficient financial reporting and accounting personnel with appropriate knowledge of U.S. GAAP and SEC reporting requirements to properly address complex U.S. GAAP accounting issues and related disclosures. We have taken measures and plan to continue to take measures to remedy this material weakness. For details, see “Item 15. Controls and Procedures—Internal Control Over Financial Reporting.” The implementation of these measures may not fully address the material weakness in our internal control over financial reporting, and we cannot conclude that it has been fully remedied. Our failure to correct this material weakness or our failure to discover and address any other material weaknesses could result in inaccuracies in our financial statements and could also impair our ability to comply with applicable financial reporting requirements and related regulatory filings on a timely basis.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public company in the United States subject to the Sarbanes-Oxley Act of 2002. Section 404 of the Sarbanes-Oxley Act of 2002, or Section 404, requires that we include a report from management on our internal control over financial reporting in our annual report on Form 20-F beginning with our annual report for the fiscal year ending December 31, 2026. In addition, once we cease to be an “emerging growth company” as such term is defined in the Jumpstart Our Business Startups Act, or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single facility where substantially all of our computer and communications hardware is located fails, our business, results of operations and financial condition would be harmed.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provide high quality services depends in part on the efficient and uninterrupted operation of our computer and communications systems. Substantially all of the computer hardware necessary to operate our platform is located at a single leased facility. Our systems and operations are vulnerable to damage or interruption from human error, fire, flood, power loss, telecommunications failure, terrorist attacks, acts of war, break-ins, earthquake and similar events. We have redundant systems and data centers in multiple locations for disaster backup and recovery purposes, and our business interruption insurance may be insufficient to compensate us for losses that may occur. In addition, our servers are vulnerable to computer viruses, physical or electronic break-ins and similar disruptions, which could lead to interruptions, delays, loss of critical data, the inability to accept and fulfill customer orders or the unauthorized disclosure of confidential user data. The occurrence of any of the foregoing risks could substantially harm our business and results of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Merchant growth and activity on mobile devices depends upon effective use of mobile operating systems, networks and standards that we do not control.</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Substantially all of our online services are offered through mobile applications. Merchants have to download our mobile applications for their particular devices as opposed to accessing our sites from an internet browser on their mobile device. As new mobile devices and platforms are released, it is difficult to predict the problems we may encounter in developing applications for these alternative devices and platforms, and we may need to devote significant resources to the development, support and maintenance of such applications. In addition, our future growth and our results of operations could suffer if we experience difficulties in the future in integrating our mobile applications into mobile devices or if problems arise with our relationships with providers of mobile operating systems or mobile application download stores, if our applications receive unfavorable treatment compared to competing applications on the download stores, or if we face increased costs to distribute or have users use our mobile applications. We are further dependent on the interoperability of our sites with popular mobile operating systems that we do not control, such as iOS and Android, and any changes in such systems that degrade the functionality of our sites or give preferential treatment to competitive sites could adversely affect the usage of our sites on mobile devices. In the event that it is more difficult for merchants to access and use our sites on their mobile devices, or if merchants choose not to access or to use our sites on their mobile devices or to use mobile products that do not offer access to our sites, the growth of merchants using our platform could be harmed and our business, financial condition and operating results may be adversely affected.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certain key operating metrics to evaluate the performance of our business, and perceived inaccuracies in such metrics may harm our reputation and negatively affect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on certain key operating metrics, such as annual paying merchants as a percentage of active merchants, to evaluate the performance of our business. These metrics are calculated using our internal data and have not been validated by an independent third party. While these numbers are based on what we believe to be reasonable estimates, there are inherent challenges in measuring how our services. For example, individuals who have multiple accounts and devices registered with our platform could result in an overstatement of the number of merchants on our platform. We are also subject to the risk associated with artificial manipulation of data. Our operating metrics may also differ from estimates published by third parties or from similarly titled metrics used by other companies due to differences in methodology and assumptions. If these metrics are perceived to be inaccurate by investors or investors make investment decisions based on operating metrics we disclosed but with their own methodology and assumptions or those published or used by third parties or other companies, our reputation may be harmed, which could negatively affect our business, and we may also face potential lawsuits or disputes.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app stores to distribute our mobile apps.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collaborate with Apple’s app store and major Android app stores to distribute our mobile applications to users. As such, the promotion, distribution and operation of our applications are subject to such distribution platforms’ standard terms and policies for application developers, which are subject to the interpretation of, and frequent changes by, these distribution platforms. If these third-party distribution platforms modify their terms and conditions in a manner that negatively impacts our business, or refuse to distribute our applications, or if any other major distribution platform with which we would like to seek collaboration refuses to collaborate with us in the future on commercially favorable terms, our business, financial condition and results of operations may be materially and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share-based incentive awards, which may result in increased share-based compensation expenses, and you may incur immediate and substantial dilution.</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the granting of share-based compensation is of significant importance to our ability to attract and retain key personnel and employees. We have adopted the 2015 share incentive plan in December 2015, or the 2015 Plan, and the 2025 share incentive plan, or the 2025 Plan, to incentivize our employees, directors and consultants. See “Item 6. Directors, Senior Management and Employees—B. Compensation of Directors and Executive Officers —Share Incentive Plans.” We plan to continue to grant share-based compensation to employees in the future, which could result in an increase in our expenses associated with share-based compensation, which may in turn have an adverse effect on our results of operations.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the perceived value of the equity awards is an important factor for prospective candidates and existing employees when considering their employment with us. Thus, any decline in the perceived value of our equity or equity awards could have an adverse impact on our ability to attract or retain highly skilled employees. Furthermore, there is no assurance that the number of shares reserved for issuance under our share incentive plans will be sufficient to grant equity awards adequate to recruit new employees and to compensate existing employees, which poses a potential challenge for us to provide competitive equity-based compensation to attract and retain talent.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certain legal and regulatory risks relating to certain real properties that we lease.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do not own any properties, and we leased certain properties in mainland China for business operations purposes. Certain lessors of the leased properties in mainland China have not provided us with valid property ownership certificates or any other documentation proving their right to lease those properties to us. In addition, certain leased properties had been mortgaged before we leased the property. As of the date of this annual report, we are not aware of any actions or claims raised by any third parties challenging our use of these properties we currently lease, nor have we received any notices from the government authorities of mainland China. We cannot assure you that these leases will not be subject to any challenges, lawsuits or other actions taken against the properties leased by us. If our lessors are not the owners of these properties or they have not obtained consents from the owners or their lessors or permits from the government authorities, their rights with respect to the properties might be successfully challenged and our leases could be invalidated. If these leases are invalid, we may be forced to relocate the operations, which could adversely affect our business, financial condition and results of operations. If we fail to find suitable replacement properties on terms acceptable to us for the affected operations at a timely manner, or at all, our business, financial condition and results of operations may be materially and adversely affected.</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lease agreements of our leased properties in mainland China have not been registered with the government authorities of mainland China as required by laws of mainland China, and although failure to do so does not in itself invalidate the leases, we may be exposed to potential fines if we fail to rectify within the prescribed time period after receiving notices from the government authorities of mainland China.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unauthorized use of our intellectual property, which could harm our business and competitive position.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regard our trademarks, copyrights, patents, domain names, know-how, proprietary technologies, and similar intellectual property as critical to our success, and we rely on a combination of intellectual property laws and contractual arrangements, including confidentiality agreements with our employees and third parties, to protect our proprietary rights. Despite these measures, any of our intellectual property rights could be challenged, invalidated, circumvented or misappropriated, or such intellectual property may not be sufficient to provide us with competitive advantages. In addition, although we are not aware of any copycat websites or mobile apps that attempt to cause confusion or traffic diversion from us at the moment, we may become an attractive target to such attacks in the future because of our brand recognition in the agricultural B2B industry in China.</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there can be no assurance that our patent applications would be approved, that any issued patents would adequately protect our intellectual property, or that such patents would not be challenged by third parties or found by a judicial authority to be invalid or unenforceable. If the trademark authority grants rulings in favor of any third party, we may be prohibited from using the trade name and logo for our mobile app in our business operations, and, as a result, we may need to change the name and logo of our mobile app, which may have an adverse effect on our business.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Confidentiality agreements may be breached by counterparties, and there may not be adequate remedies available to us for any such breach. Accordingly, we may not be able to effectively protect our intellectual property rights or to enforce our contractual rights in mainland China. Policing any unauthorized use of our intellectual property is difficult and costly and the steps that we take may be inadequate to prevent the infringement or misappropriation of our intellectual property. In the event that we resort to litigation to enforce our intellectual property rights, such litigation could result in substantial costs and a diversion of our managerial and financial resources, and could put our intellectual property at risk of being invalidated or narrowed in scope. There can be no assurance that we would prevail in such litigation, and even if we manage to prevail, we may not obtain a meaningful recovery. In addition, our trade secrets may be leaked or otherwise become available to, or be independently discovered by, our competitors. Any failure in maintaining, protecting or enforcing our intellectual property rights could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which may be expensive to defend and may disrupt our business and operations.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cannot be certain that our operations or any aspects of our business do not or would not infringe upon or otherwise violate patents, copyrights or other intellectual property rights held by third parties. We have been, and from time to time in the future may be, subject to legal proceedings and claims relating to the intellectual property rights of others. In addition, there may be other third-party intellectual property that is infringed by our services or other aspects of our business. There could also be existing patents of which we are not aware that our services may inadvertently infringe. There can be no assurance that holders of patents purportedly relating to some aspect of our technology platform or business, if any such holders exist, would not seek to enforce such patents against us in mainland China or any other jurisdictions as applicable. As the application and interpretation of patent laws of mainland China and the procedures and standards for granting patents in mainland China are still evolving, we cannot assure you that we do not and will not violate patent-related laws and regulations in mainland China, which may subject us to patent disputes. If we are found to have violated the intellectual property rights of others, we may be subject to liability for our infringement activities or may be prohibited from using such intellectual property, and we may incur licensing fees or be forced to develop alternatives of our own. In addition, we may incur significant expenses, and may be forced to divert management’s time and other resources from our business and operations to defend against these third-party infringement claims, regardless of their merits. Successful infringement or licensing claims made against us may result in significant monetary liabilities and may materially disrupt our business and operations by restricting or prohibiting our use of the intellectual property in question, which may materially and adversely affect our business, financial condition and results of operations.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Increasing focus with respect to environmental, social and governance matters may impose additional costs on us or expose us to additional risks. Failure to comply with the laws and regulations on environmental, social and governance matters may subject us to penalties and adversely affect our business, financial condition and results of operations.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Regulatory authorities and public advocacy groups have been increasingly focusing on environment, social and governance, or ESG, issues in recent years, making our business more sensitive to ESG issues and changes in governmental policies and laws and regulations associated with environment protection and other ESG-related matters. Investor advocacy groups, certain institutional investors, investment funds, and other influential investors are also increasingly focused on ESG practices and in recent years have placed increasing importance on the implications and social cost of their investments. Regardless of the industry, increased focus from investors and the regulatory authorities on ESG and similar matters may hinder access to capital, as investors may decide to reallocate capital or to not commit capital as a result of their assessment of a company’s ESG practices. Any ESG concern or issue could increase our regulatory compliance costs. If we do not adapt to or comply with the evolving expectations and standards on ESG matters from investors and the regulatory authorities or are perceived to have not responded appropriately to the growing concern for ESG issues, regardless of whether there is a legal requirement to do so, we may suffer from reputational damage and the business, financial condition, and the price of our ADSs could be materially and adversely effected.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platform and proprietary technologies are highly technical, and any undetected errors could adversely affect our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platform is a complex system composed of many interoperating components and incorporates software that is highly complex. Our business is dependent upon our ability to prevent system interruption on our platform. Our software may now or in the future contain undetected errors, bugs, or vulnerabilities. Some errors in our software code may only be discovered after the code has been released. Bugs in our software, misconfigurations of our systems, and unintended interactions between systems could result in our failure to comply with certain national or regional reporting obligations, or could cause downtime that would impact the availability of our services to platform participants.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Development of proprietary technologies is time-consuming, expensive and complex, and may involve unforeseen difficulties. We may encounter technical obstacles, and it is possible that we may discover additional problems that prevent our technologies from operating properly and consequently adversely affect our information infrastructure and other aspects of our business where our technologies are applied. If the provision of our services does not function reliably or fails to achieve merchants’ and business partners’ expectations in terms of performance, we may lose existing, or fail to attract new, merchants or business partners, which may damage our reputation and adversely affect our business.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from time to time found defects or errors in our system and technologies and may discover additional defects in the future that could result in platform unavailability or system disruption. In addition, we have experienced outages on our platform in the past. If sustained or repeated, any of these outages could reduce the attractiveness of our platform to platform participants. In addition, our release of new software in the past has inadvertently caused, and may in the future cause, interruptions in the availability or functionality of our platform. Any errors, bugs, or vulnerabilities discovered in our code or systems after release could result in an interruption in the availability of our platform or a negative experience for platform participants, and could also result in negative publicity and unfavorable media coverage, damage to our reputation, loss of platform users, loss of revenues or liability for damages, regulatory inquiries, or other proceedings, any of which could adversely affect our business and financial results.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develop our existing information infrastructure and technologies, recoup the investments we have made for such development, continue to innovate or adapt to industry changes, which may materially and adversely affect our business, financial condition, results of operations and prospects.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agricultural B2B industry is characterized by rapid technological advancements, evolving industry standards and regulatory requirements, introductions of new services as well as changing merchants’ demands. We are also impacted by changes and developments in the agriculture and other related industries in which we operate. These changes and developments necessitate ongoing innovation, and failure to do so would have a material adverse effect on our business, financial condition and results of operations.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need to constantly upgrade our information infrastructure to increase scalability, improve performance and additional built-in functionality of our platform, to keep pace with our business growth, which may require significant investments of time and resources, including hardware upgrades, software updates, and recruitment and training of new engineering personnel. Failure to improve our information infrastructure accordingly may materially affect our ability to adopt new services, and could result in unanticipated system disruptions, slow response times and impaired platform participants’ user experiences, which may, in turn, materially and adversely affect our business, financial condition, results of operation, prospects and reputation.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Meanwhile, we have been enhancing our technological capabilities and developing a number of technologies to support our business operations. If we experience problems with the functionality and effectiveness of our technologies in the course of development, or if we fail to continually improve our technologies to meet our business needs as expected, our business, financial condition, results of operation, prospects and reputation could be materially and adversely affected.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we invested and expect to continually invest, significant amounts in upgrading our information infrastructure and developing our technologies. We are likely to recognize costs associated with these investments earlier than the anticipated benefits and the return on these investments may be lower or slower to materialize than expected. We may not be able to recover our capital expenditures or investments, in part or in full, or the recovery process may take longer than expected. As a result, the carrying value of the related assets may be subject to an impairment charge, which may materially and adversely affect our financial condition and results of operations.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attacks against our systems and network or against the servers and computer systems of the third parties we rely on, and any potential resultant breach or failure to otherwise protect confidential and proprietary information, could damage our reputation and adversely affect our business, financial condition and results of operations.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heavily on technology, particularly the internet, to provide high-quality online services. However, our technology operations are vulnerable to disruptions arising from human error, natural disasters, power failure, computer viruses, spam attacks, unauthorized access and other similar events. Disruptions to, or instability of, our technology or external technology that allows our members to use our online services could materially harm our business, financial condition and result of operations.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Although we have employed significant resources to develop security measures against breaches, our cybersecurity measures may not detect or prevent all attempts to compromise our systems, including distributed denial-of-service attacks, viruses, malicious software, break-ins, phishing attacks, social engineering, security breaches or other attacks and similar disruptions that may jeopardize the security of information stored in and transmitted by our systems or that we otherwise maintain. Breaches of our cybersecurity measures could result in unauthorized access to our systems, misappropriation of information or data, deletion or modification of merchant information, or a denial-of-service or other interruption to our business operations. As techniques used to obtain unauthorized access to or sabotage systems change frequently and may not be known until launched against us, we may be unable to anticipate, or implement adequate measures to protect against, these attacks. In addition, we may not be able to prevent third parties, especially hackers or other individuals or entities engaging in similar activities, from illegally obtaining such confidential or private information we hold as a result of merchants’ visits to our website and use of our mobile applications. Such individuals or entities obtaining such merchants’ confidential or private information may further engage in various other illegal activities using such information. In addition, we have limited control or influence over the security policies or measures adopted by third-party providers of online payment services through which some of our users may elect to make payment for purchases. Any negative publicity on our website’s or mobile applications’ safety or privacy protection mechanisms and policies, and any claims asserted against us or fines imposed upon us as a result of actual or perceived failures, could have a material and adverse effect on our public image, reputation, financial condition and results of operations.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we are also subject to cybersecurity risks inherent to third-party companies that we rely on who also possess or have access to our data. We were informed, in July of 2025, by our underwriter for the initial public offering that it had suffered a cybersecurity incident and specifically a ransomware incident, which has resulted in unauthorized access to some of the underwriter’s systems and data, and the exfiltration of certain data from the underwriter’s systems as well. Based on information currently available to the underwriter regarding the incident, the underwriter believes confidential information regarding our company that we had provided to the underwriter in connection with its due diligence for our initial public offering was included in the data that was exfiltrated. We believe that any such risk is manageable and can be absorbed and addressed by our existing cybersecurity policies, procedures, and controls.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Save as disclosed above, as of the date of this annual report, we had not been subject to any types of attacks that had materially and adversely affected our business operations. However, we and third parties that we rely on may experience cybersecurity incidents due to human error, malfeasance, system errors or vulnerabilities, or other issues. We may not have the resources or technical sophistication to anticipate or prevent rapidly evolving types of cyberattacks. Actual or perceived cybersecurity incidents relating to our data or confidential information could subject us to regulatory investigations and orders, litigation, indemnity obligations, damages, penalties, fines and other costs in connection with actual and alleged contractual breaches, violations of applicable laws and regulations and other liabilities. We do not currently maintain errors, omissions, and cyber liability insurance policies covering certain security and privacy damages. There can be no assurance that we would not in the future be subject to such attacks that may result in material damages or remediation costs. If we are unable to avert these attacks and security breaches, we could be subject to significant legal and financial liability, our reputation would be harmed and we could sustain substantial revenue loss from lost sales and user dissatisfaction.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technologies are adapted from open source or third-party models, which may pose particular risks to our technologies and platform in a manner that could have a material and adverse effect on our business, financial condition and results of operations.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use open source and third-party models in connection with our technologies and anticipate using such models in the future. Open source model is generally freely accessible, usable and modifiable. Certain open source or third-party licenses may, in certain circumstances, require us to offer the components of our platform that incorporate the open source or third-party model for no cost, that we make available source code for modifications or derivative works we create based upon, incorporating or using the open source or third-party model and that we license such modifications or derivative works under the terms of the particular open source or third-party license. The terms of certain open source or third-party licenses to which we are subject have not been interpreted by U.S. or foreign courts, and there is a risk that open source or third-party software licenses could be construed in a manner that imposes unanticipated conditions or restrictions on our ability to provide the features or use the technologies related to the open source or third-party model subject to those licenses. While we monitor our use of open source and third-party models and try to ensure that none is used in a manner that would require us to disclose our proprietary source code or that would otherwise breach the terms of the underlying agreement, such use could inadvertently occur, or claims could be made that such use had occurred. If an author or other third party that distributes the model we use were to allege that we had not complied with the conditions of one or more of these licenses, we could be required to incur significant legal expenses defending against such allegations and could be subject to significant damages, including being enjoined from using the technologies that are adapted from or rely on the open source or third-party models, offering the features of our platform that relate to the open source or third-party model, and being required to comply with the foregoing conditions, which could disrupt our ability to use the affected technologies or offer the affected features on our platform.</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we could face claims from third parties claiming ownership of, or demanding release of, any open source model or derivative works that we have developed using such models, which could include proprietary source code, or otherwise seeking to enforce the terms of the applicable open source license. These claims could result in litigation and could require us to make our software source code freely available, purchase a costly license or cease using the implicated technologies or offering the implicated features on our platform unless and until we can recode or reengineer such source code in a manner that avoids infringement. This reengineering process could require us to expend significant additional research and development resources, and we may not be able to complete the reengineering process successfully. In addition to risks related to license requirements, use of certain open source model can lead to greater risks than use of third-party commercial software, as open source licensors generally do not provide support, warranties, indemnification or other contractual protection regarding infringement claims or the quality of the code. There is little legal precedent in this area and any actual or claimed requirement to disclose our proprietary source code or pay damages for breach of contract could harm our business and could help third parties, including our competitors, develop technologies and platforms that are similar to or better than ours. Any of the foregoing could have a material adverse effect on our competitive position,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use of open-source software may also present additional security risks because the source code for open-source software is publicly available, which may make it easier for hackers and other parties to determine how to breach our website and systems that rely on open-source software. Any of these risks could be difficult to eliminate or manage, and, if not addressed, could have a material adverse effect on our business, results of operations, financial condition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insurance coverage to cover our business risks.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provide social security insurance for our employees as required by mainland China laws, and we also provide supplemental commercial medical insurance for our employees. We may not be able to acquire any insurance for certain types of risks such as business liability or service disruption insurance for all of our operations in mainland China, and our coverage may not be adequate to compensate for all losses that may occur, particularly with respect to loss of business or operations. For example, we do not maintain business interruption insurance, nor do we maintain key-man life insurance. Any business disruption, litigation, regulatory action, outbreak of epidemic disease or natural disaster could also expose us to substantial costs and diversion of resources. There can be no assurance that our insurance coverage is 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depend on the performance of the internet infrastructure and telecommunications networks in mainland China.</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successful operation of our business depends on the performance of the internet infrastructure and telecommunications networks in mainland China. Almost all access to the internet is maintained through state-owned telecommunications operators under the administrative control and regulatory supervision of the MIIT. Moreover, we have entered into contracts with various subsidiaries of a limited number of telecommunications service providers at provincial level and rely on them to provide us with data communications capacity through local telecommunications lines. We have limited access to alternative networks or services in the event of disruptions, failures or other problems with mainland China’s internet infrastructure or the telecommunications networks provided by telecommunications service providers. With the expansion of our business, we may be required to upgrade our technology and infrastructure. However, we have no control over the costs of the services provided by telecommunications service providers. If the prices we pay for telecommunications and internet services rise significantly, our results of operations may be materially and adversely affected. If internet access fees or other charges to internet members increase, our member traffic may decline and our business may be harmed.</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are unable to generate sufficient cash flows, we would require additional capital to pursue our business objectives and respond to business opportunities, challenges, or unforeseen circumstances, as well as to make marketing expenditures to improve our brand awareness, develop new services, further improve our existing services, build and maintain our offline facilities, enhance our operating infrastructure, and acquire complementary businesses and technologies. Accordingly, we may need to engage in equity or debt financings to secure additional funds. However, additional funds may not be available when we need them on terms that are acceptable to us or at all. Volatility in the equity and credit markets, including due to macroeconomic conditions, may also have an adverse effect on our ability to obtain equity or debt financing. An inability to obtain adequate financing or financing on terms satisfactory to us when we require it could significantly limit our ability to continue to pursue our business objectives and to respond to business opportunities, challenges, or unforeseen circumstances, and may adversely affect our business, operating results, financial condition, and prospects.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raise additional capital, it may dilute our shareholders’ ownership in us or cause our shareholders to be subordinated to the rights of senior security holder.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need to raise additional funds through public or private debt or equity financings in order to meet various objectives, such as:</w:t>
      </w:r>
    </w:p>
    <w:p>
      <w:pPr>
        <w:spacing w:after="0" w:line="225"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businesses, users, technologies,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advantage of growth opportunities, including more rapid expansion;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capital improvements to increase our capacity;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services or funding service development requirements;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competitive pressures.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additional capital raised through the sale of equity, or convertible debt securities, may dilute our shareholders’ respective ownership percentages in us. Furthermore, any additional debt or equity financing we may need may not be available on terms favorable to us, or at all. If future financing is not available or is not available on acceptable terms, we may not be able to raise additional capital, which could significantly limit our ability to implement our business plan or grow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directors and officer, may be involved in legal and/or regulatory proceedings that are expensive and time consuming and, if resolved adversely, that may materially adversely affect us.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and our directors or officers, may be subject to disputes with various counterparties with which we transact from time to time in the ordinary course of our business, such as service providers, customers, competitors and investors, which may lead to legal proceedings. These proceedings, if and when materialize, could have a material adverse effect on our business, results of operations and financial condition. Claims arising out of actual or alleged violations of law could also be asserted against us by consumers and businesses that utilize our services, by competitors, or by governmental entities in civil or criminal investigations and proceedings or by other entities. These claims could be asserted under a variety of laws, including but not limited to consumer finance laws, product liability laws, consumer protection laws, intellectual property laws, unfair competition laws, privacy laws, labor and employment laws, securities laws, real estate laws, tort laws, contract laws, property laws and employee benefit laws. For example, we are currently subject to certain ongoing contract disputes as well as other proceedings in mainland China. These cases are still ongoing, but we believe the claims are without merit and we will defend ourselves accordingly. We are unable, however, to predict the outcome of these cases, or reasonably estimate a range of possible loss, if any, given the current status of the proceedings. We have not recorded any accrual for expected loss payments with respect to these cases as of the date of this annual report and do not believe that any of the ongoing claims is material to our overall business operations.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and civil fines and penalties, including but not limited to suspension or revocation of licenses to conduct business.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alliances and investments could be costly, difficult to integrate, disrupt our business and adversely affect our results of operations and value of your investment.</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we continue to expand our operations, we have and may in the future enter into strategic alliances or to acquire substantial asset or equities from a pool of candidates that fit our criteria. We are not certain that we will be able to consummate any such transactions in the future or identify those candidates that would result in the most successful combinations, or that future acquisitions will be able to be consummated at reasonable prices and terms. We cannot assure you that we will realize the anticipated benefits of these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increased competition for acquisition candidates could result in fewer acquisition opportunities for us and higher acquisition prices.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Strategic investments or acquisitions will involve risks commonly encountered in business relationships, including:</w:t>
      </w:r>
    </w:p>
    <w:p>
      <w:pPr>
        <w:spacing w:after="0" w:line="207"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suitable acquisition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with other auction groups or new industry consolidators for suitable acquisitions;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our financial capabilities;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assimilating and integrating the operations, personnel, systems, data, technologies, products and services of the acquired business;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by, or conflicts of interest with, the parties with whom we enter into investments or alliances;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the acquired technologies, products or businesses to achieve expected levels of revenue, profitability, productivity or other benefits;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training, motivating and integrating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resources from our normal daily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successfully incorporating licensed or acquired technology and rights into our platform and service offerings;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uniform standards, controls, procedures and policies within the combined organizations;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relationships with users, employees and third-party service providers of the acquired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entering markets in which we have limited or no prior experience;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risks, including remaining in good standing with existing regulatory bodies or receiving any necessary pre-closing or post-closing approvals, as well as being subject to new regulators with oversight over an acquired business;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contractual obligations that contain terms that are not beneficial to us, require us to license or waive intellectual property rights or increase our risk for liability;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further develop the acquired technology or maintain acquired facilities;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business before the acquisition, including intellectual property infringement claims, violations of laws, commercial disputes, tax liabilities and other known and unknown liabilities;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to our ongoing businesses;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and unknown risks and liabilities associated with strategic investments or acquisitions.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not make any investments or acquisitions, and we cannot guarantee that any future investments or acquisitions will be successful, beneficial for our business strategy, or generate sufficient revenues to offset the associated acquisition costs or otherwise yield the intended benefits. In addition, we cannot assure you that any future investment in or acquisition of new businesses or technology will lead to the successful development of new or enhanced service offerings, or that any new or enhanced technology or services, if developed or offered, will achieve market acceptance or prove to be profitable. Furthermore, we may fail to identify or secure suitable acquisition, investment and other strategic opportunities, or our competitors may capitalize on such opportunities before we do, which could impair our ability to compete effectively with our competitors and adversely affect our growth prospects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tensions in international trade and rising international political tensions may adversely affect our business, financial condition, and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recent years, there have been heightened trade and political tensions in international relations, particularly between the United States and China. These tensions have affected both diplomatic and economic ties between the two countries and created uncertainties to the international economy as a whole. Heightened tensions could reduce levels of trade, investments, technological exchanges, and other economic activities between major economies. The existing tensions and any further deterioration in the relationship between the United States and China and between other countries may have a negative impact on the general, economic, political, and social conditions around the globe, United States and China in particular, and thus adversely impact our business, financial condition, and results of operations.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U.S. government has implemented policies restricting international trade and investment, such as tariffs, export controls, economic or trade sanctions, and foreign investment filing and approval requirements. These actions may materially and adversely affect international trade, global financial markets, and the stability of the global economic condition. For example, since early 2025, the United States has implemented significant changes to U.S. trade policy with China, including by imposing additional tariffs on Chinese imports. China has responded by imposing, and proposing to impose additional or higher tariffs on products imported from the United States, among other measures. There remains considerable uncertainty regarding future tariff rates and the trajectory of U.S.-China trade relations. It also remains uncertain whether increased tariffs and trade tensions will create further disruptions and uncertainties to the international trade and lead to a downturn to the global economy.</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addition, the United States government has taken efforts to limit the outbound U.S. investments to China. On August 9, 2023, the Biden administration of the United States released an executive order directing the Department of Treasury to create an outbound foreign direct investment review program that would require reporting on or (in more narrow circumstances) prohibit investments by U.S. persons involving “covered national security technologies and products.” On October 28, 2024, the Department of Treasury issued a final rule to implement the executive order, providing details on technical specifications and other aspects of the operative regulations, which came into effect on January 2, 2025. This is referred to as the Outbound Investment Rule. The Outbound Investment Rule imposes investment prohibitions and notification requirements on U.S. persons for a wide range of investments in entities associated with “countries of concern,” currently only China, that are engaged in activities relating to (i) semiconductors and microelectronics, (ii) quantum information technologies, and (iii) artificial intelligence systems. These entities are collectively defined as “Covered Foreign Persons.” U.S. persons subject to the Outbound Investment Rule are prohibited from making, or required to report, transactions involving Covered Foreign Persons that are defined as “covered transactions,” although the Outbound Investment Rule excludes some investments from the scope of covered transactions, including those in publicly traded securities. The Outbound Investment Rule introduces new hurdles and uncertainties for cross-border collaborations, investments, and funding opportunities of China-based issuers including us. We do not believe that Yimutian Inc. would be defined as a Covered Foreign Person under the Outbound Investment Rule because we do not engage in a “covered activity” (as defined in the Outbound Investment Rule) or otherwise meet the definition of Covered Foreign Persons provided in the Outbound Investment Rule. However, there is no assurance that the U.S. Department of Treasury will take the same view as ours. If we were to be deemed a “Covered Foreign Person,” and if U.S. persons were to engage in a “covered transaction” (as defined under the Outbound Investment Rule) that involves the acquisition of our equity interests, such U.S. persons may need to make a notification pursuant to the Outbound Investment Rule. In addition, even though U.S. persons’ acquisitions of publicly traded securities (such as our ADSs) will be exempted from the scope of covered transactions under the Outbound Investment Rule, the rule could still limit our ability to raise capital or contingent equity capital from U.S. investors given that the relevant laws, regulations, and policies continue to evolve and we cannot rule out the possibility of being deemed a Covered Foreign Person in the future due to different views taken by the U.S. Department of Treasury, potential amendments to the Outbound Investment Rule or the introduction of additional regulations. For example, on February 21, 2025, the White House released President Trump’s “America First Investment Policy” memorandum, outlining several initiatives to incentivize investment from U.S. allies and partners while restricting investments involving “foreign adversaries,” including China. Among other things, the policy aims to expand the industry sectors covered by the U.S. outbound investment regulations and supplement outbound restrictions through the imposition of sanctions. As of the date of this annual report, the proposed changes under the America First Investment Policy are not implemented. In addition, on December 18, 2025, the Comprehensive Outbound Investment National Security Act of 2025, or the COINS Act, was enacted as part of the National Defense Authorization Act for Fiscal Year 2026. The COINS Act largely preserves the core framework of the Outbound Investment Rule while expanding its scope and coverage in certain respects such as expanding covered activities in high-performance computing and supercomputing and hypersonic systems and including more countries of concern The COINS Act will not become effective until the U.S. Department of the Treasury issues implementing regulations, which must be promulgated through notice-and-comment rulemaking and no later than March 13, 2027. Accordingly, the Treasury may amend, expand or otherwise modify existing outbound investment prohibitions and restrictions pursuant to the COINS Act. If our ability to raise such capital is significantly and negatively affected, it could be detrimental to our business, financial condition and prospects, and our ADSs may significantly decline in value.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Rising political tensions could reduce levels of trades, investments, technological exchanges, and other economic activities across the globe, which would have a material adverse effect on global economic conditions and the stability of global financial markets. Any of these factors could have a material adverse effect on the demand of our services, and thus negatively affect our business, prospects,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severe or prolonged downturn in the Chinese or global economy could materially and adversely affect our business and financial condition.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global macroeconomic environment faces numerous challenges. The growth rate of the Chinese economy has been slowing since 2010 and the Chinese population began to decline in 2022. The Russia-Ukraine conflict, the Hamas-Israel conflict, the conflict in the Persian Gulf and surrounding areas as far west as Israel and Lebanon, and the restrictions at various times on shipping through the straits of Hormuz and the Red Sea have heightened geopolitical tensions across the world. The impact of the regional conflicts has contributed to increases in food and energy prices and thus to inflation more generally, with the potential for even more serious consequences if oil and gas facilities are destroyed or shipping is affected for an extended period of time. There have also been concerns about the relationship between China and other countries which may potentially have economic effects. In particular, there is significant uncertainty about the future relationship between the United States and China with respect to a wide range of issues including trade policies, treaties, government regulations and tariffs. Economic conditions in China are sensitive to global economic conditions, as well as changes in domestic economic and political policies and the expected or perceived overall economic growth rate in China. As a result, any severe or prolonged slowdown in the global or Chinese economy may materially and adversely affect our business, results of operations and financial condition.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extreme weather conditions, health epidemics, and other catastrophic incidents, which could significantly disrupt our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Natural disasters, including earthquakes, extreme weather conditions, as well as health scares related to epidemic diseases, and any similar event could materially impact our business. If a disaster or other disruption were to occur in the future that affects the regions where we operate our business, our operations could be materially and adversely affected due to loss of personnel and damages to property and the agricultural products that we plant under the smart farming business. Even if we are not directly affected, such a disaster or disruption could affect our operations or financial condition as we conduct nationwide operations in mainland China.</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our business could be affected by public health epidemics, such as the outbreak of avian influenza, severe acute respiratory syndrome, or SARS, Zika virus, Ebola virus, coronavirus or other disease. In recent years, outbreaks of COVID-19 resulted in quarantines, travel restrictions and the temporary closure of businesses and facilities worldwide. In particular, the COVID-19 related control measures have had an impact on logistics services. Uncertainties existed with respect to the timely delivery of agricultural products to be shipped to buyers, which led to decreases in trading volumes, paying ratios and the number of active merchants on our platform. As a result, our business and financial results were adversely affected from early 2020 to late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Yimutian Inc. is a Cayman Islands holding company with no operations of its own and we currently conduct our operations in mainland China through our subsidiaries and the VIEs. Investors in our ADSs should note that they are purchasing equity interests in a Cayman Islands holding company rather than equity interests in the VIEs in mainland China. Given that there are uncertainties regarding the interpretation and application of current and future PRC laws, regulations, and rules relating to the agreements that establish the VIE structure for our operations in mainland China, including potential future actions by the mainland China government, if the mainland China government deems that our contractual arrangements with the VIEs do not comply with the laws of mainland China, or if regulations or interpretation of the existing regulations change in the future, we could be subject to penalties or be forced to relinquish our interests in the VIEs.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Announcement of the Ministry of Industry and Information Technology on Launching the Pilot Program of Expanding the Opening-up in Value-added Telecommunications Services, issued by the MIIT on April 8, 2024, the restrictions on foreign shareholding percentages for information services, including information releasing platforms and information delivery services (excluding internet news information, online publishing, online audio-visual services, and internet-based cultural businesses) are lifted. Each of the VIEs, i.e., Beijing Douniu and Yimutian Xinnong, currently holds an ICP License to operate business that involves the provision of internet information services. Despite the lifting of restrictions on foreign shareholding percentages, in accordance with the laws and regulations effective at the time Beijing Douniu and Yimutian Xinnong applied for the ICP Licenses (including the Regulations for the Administration of Foreign-Invested Telecommunications Enterprises (2022 revision) promulgated by the State Council on December 11, 2001 and last amended on March 29, 2022 and the applicable versions of the Special Administrative Measures on Access of Foreign Investment, published by the National Development and Reform Commission, or the NDRC, and the Ministry of Commerce), foreign investors are prohibited from holding more than 50% equity interest in any enterprise engaged in such internet information provision businesses.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Yimutian Inc. is a Cayman Islands exempted company with limited liability, and we currently operate our businesses in mainland China through our subsidiaries and through contractual arrangements with the VIEs instead of holding any equity interests in the VIEs. Yimutian Inc., through its wholly owned subsidiary in mainland China, has entered into a series of contractual arrangements with the VIEs, which enable us to (i) direct activities of the VIEs that most significantly affect the economic performance of the VIEs; (ii) receive substantially all of the economic benefits of the VIEs, to the extent that we have satisfied the conditions for consolidation of the VIEs under U.S. GAAP and (iii) have an exclusive option to purchase all or part of the equity interests and assets in the VIEs when and to the extent permitted by law of mainland China. As a result of these contractual arrangements, we are regarded as the primary beneficiary of the VIEs, and thus consolidate their financial results as the VIEs under the U.S. GAAP. See “Item 4. Information on the Company— C. Organizational Structure—Contractual Arrangements and the VIEs.”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opinion of Global Law Office, our PRC counsel, (i) the ownership structures of our WFOE and the VIEs in mainland China are not in violation of mandatory laws and regulations of mainland China currently in effect in all material respects; and (ii) the contractual arrangements between our WFOE, the VIEs and the respective shareholders of the VIEs governed by laws of mainland China are not in violation of mandatory laws or regulations of mainland China currently in effect in all material respects, and valid and binding upon each party to such arrangements in accordance with their terms.However, our PRC counsel has also advised us that the interpretation and application of current and future laws, regulations and rules of mainland China are evolving, and thus the regulatory authorities of mainland China may take a view that is contrary to the opinion of our PRC counsel. If the mainland China government finds that the contractual arrangements do not comply with the restrictions or prohibitions on foreign investment in certain sectors, or if the mainland China government otherwise finds that Yimutian Inc. or the VIEs are in violation of laws or regulations of mainland China or lack the necessary permits or licenses to operate our business, the regulatory authorities of mainland China, including the MIIT and SAMR, would have discretion in dealing with such violations or failures, including, without limitation:</w:t>
      </w:r>
    </w:p>
    <w:p>
      <w:pPr>
        <w:spacing w:after="0" w:line="194"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licenses and/or operating licenses of such entities;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placing restrictions or onerous conditions on our operation through any transactions between our subsidiaries in mainland China and the VIEs;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ind w:left="980" w:right="2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confiscating the income from our subsidiaries in mainland China or the VIEs, or imposing other requirements with which we or the VIEs may not be able to comply;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restructure our ownership structure or operations, including terminating the contractual arrangements with the VIEs and deregistering the equity pledges of the VIEs, which in turn would affect our ability to consolidate, derive economic interests from, or exert effective control over the VIEs;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our use of the proceeds of our initial public offering or other offshore financing activities to fund our business and operations in mainland China and our right to collect revenues;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other regulatory or enforcement actions that could be harmful to our business.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of these events could cause significant disruption to our business operations and severely damage our reputation, which would in turn materially and adversely affect our business, financial condition and results of operations. If occurrences of any of these events result in our inability to direct the activities of the VIEs in mainland China that most significantly impact its economic performance, and/or our failure to receive the economic benefits from our consolidated variable interest entities, we may not be able to consolidate their financial results in our consolidated financial statements in accordance with U.S. GAAP.</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to the best of our knowledge, our contractual arrangements do not violate any applicable laws and regulations of mainland China currently in force in all material aspects. However, because the interpretation and application of current and future laws and regulations of mainland China are evolving, we cannot preclude the possibility that the regulatory authorities of mainland China may take a view that is contrary to ours. If any of these occurrences results in our inability to direct the activities of the VIEs or our failure to receive the economic benefits from the VIEs or our inability to claim our contractual control rights over the assets of the VIEs that conduct substantially all of our operations in mainland China, we may not be able to consolidate the entity in our consolidated financial statements in accordance with U.S. GAAP, which could materially and adversely affect our financial condition and results of operations and cause our ADSs to significantly decline in value or become worthless.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contractual arrangements may not be as effective in providing operational control as direct ownership and the VIE shareholders may fail to perform their obligations under our contractual arrangements.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operate our businesses in mainland China through our subsidiaries and through contractual arrangements with the VIEs instead of holding all the equity interests in the VIEs. Our revenue and cash flow from our such businesses are attributed to the VIEs. The contractual arrangements may not be as effective as direct ownership in providing us with control over the VIEs. Direct ownership would allow us, for example, to directly or indirectly exercise our rights as a shareholder to effect changes in the boards of directors of the VIEs, which, in turn, could effect changes, subject to any applicable fiduciary obligations at the management level. However, under the contractual arrangements, as a legal matter, if the VIEs or their equity holders fail to perform their respective obligations under the contractual arrangements, we may have to incur substantial costs and expend significant resources to enforce those arrangements and resort to litigation or arbitration and rely on legal remedies under laws in mainland China. These remedies may include seeking specific performance or injunctive relief and claiming damages, any of which may not be effective. In the event we are unable to enforce these contractual arrangements or we experience significant delays or other obstacles in the process of enforcing these contractual arrangements, we may not be able to exert effective control over the VIEs and may lose control over the assets owned by the VIEs. As a result, we may be unable to consolidate the VIEs in our consolidated financial statements, which could materially and adversely affect our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interpretation and implementation of the enacted Foreign Investment Law may change from time to time, and these potential changes may impact our business, financial condition and results of operations.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March 15, 2019, the National People’s Congress of the PRC promulgated the Foreign Investment Law of the PRC, or the Foreign Investment Law, which came into effect on January 1, 2020 and replaced the trio of existing laws regulating foreign investment in mainland China, namely, the Sino-foreign Equity Joint Venture Enterprise Law of the PRC, the Sino-foreign Cooperative Joint Venture Enterprise Law of the PRC and the Wholly Foreign-invested Enterprise Law of the PRC, together with their implementation rules and ancillary regulations. The Foreign Investment Law embodies an expected regulatory trend of mainland China to rationalize its foreign investment regulatory regime in line with prevailing international practice and the legislative efforts to unify the corporate legal requirements for both foreign and domestic investments. The interpretation and implementation of the Foreign Investment Law is still evolving and may change from time to time, especially in regard to, including, among other things, the nature of consolidated affiliated entity contractual arrangements and specific rules regulating the organization form of foreign-invested enterprises within the five-year transition period. For instance, though the Foreign Investment Law does not explicitly classify contractual arrangements as a form of foreign investment, it contains a catch-all provision under the definition of “foreign investment,” which includes investments made by foreign investors in mainland China through means stipulated in laws or administrative regulations or other methods prescribed by the State Council. Therefore, we cannot assure you that future laws, administrative regulations or provisions promulgated by the State Counsel will not construe contractual arrangements as a form of foreign investment. Furthermore, if future laws, administrative regulations or provisions prescribed by the State Council mandate further actions to be taken by companies with respect to existing contractual arrangements, such as unwinding our existing contractual arrangements and/or disposal of our related business operations,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spacing w:after="0" w:line="18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any of the VIEs or their shareholders to perform their respective obligations under our contractual arrangements with them would have a material and adverse effect on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any of the VIEs or their shareholders fail to perform their respective obligations under the contractual arrangements, we may have to incur substantial costs and expend additional resources to enforce such arrangements. We may also have to rely on legal remedies under law of mainland China, including seeking specific performance or injunctive relief, and claiming damages, which we cannot assure you will be effective under law of mainland China. For example, if the shareholders of any of the VIEs refuse to transfer their equity interest in such VIEs to us or our designee if we exercise the purchase option pursuant to these contractual arrangements, or if they otherwise act in bad faith toward us, then we may have to take legal actions to compel them to perform their contractual obligations. In addition, if any third parties claim any interest in such shareholders’ equity interests in any of the VIEs, our ability to exercise shareholders’ rights or foreclose the share pledge according to the contractual arrangements may be impaired. If these or other disputes between the shareholders of the VIEs and third parties were to impair our ability to direct the activities of and receive economic benefits from the VIEs, our ability to consolidate the financial results of the VIEs would be affected, which would in turn result in a material adverse effect on our business, operations and financial condition.</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the shareholders of the VIEs may be involved in personal disputes with third parties or other incidents that may have an adverse effect on their respective equity interests in the VIEs and the validity or enforceability of the contractual arrangements. For instance, in the event that such shareholder divorces his or her spouse, the spouse may claim that the equity interest of the VIEs held by such shareholder is part of their marital or community property and should be divided between such shareholder and his or her spouse. If such claim is supported by the competent court, the equity interest may be obtained by the shareholder’s spouse or another third party who is not bound by our contractual arrangements, which could make us unable to direct the activities of and receive economic benefits from the VIEs. Even if we receive a consent letter from the spouse of a nominee shareholder of the VIEs where such spouse undertakes that he or she would not take any actions to interfere with the contractual arrangements, including by claiming that the equity interest of the VIEs held by such shareholder is part of their marital or community property, we cannot assure you that these undertakings will be complied with or effectively enforced. Similarly, if any of the equity interests of the VIEs are inherited by a third party on whom the current contractual arrangements are not binding, we may not be able to direct activities of the VIEs that most significantly affect the economic performance of the VIEs or receive substantially all of the economic benefits of the VIEs, which could cause significant disruption to our business operations and harm our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All the agreements under our contractual arrangements are governed by law of mainland China. Accordingly, these contracts would be interpreted in accordance with law of mainland China, and any disputes would be resolved in accordance with legal procedures in mainland China.</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the agreements under our contractual arrangements are governed by mainland China law and provide for the resolution of disputes through arbitration in mainland China, which means that these agreements would be subject to interpretation in accordance with the laws of mainland China and any disputes arising therefrom would be resolved in accordance with legal procedures in mainland China. We face uncertainties regarding the ultimate outcome of such arbitration should legal action become necessary. In addition, under law of mainland China, rulings by arbitrators are final, parties cannot appeal the arbitration results in courts, and if the losing parties fail to carry out the arbitration awards within a prescribed time limit, the prevailing parties may only enforce the arbitration awards in courts of mainland China, which would require additional expenses and time. In the event we are unable to enforce these contractual arrangements, or if additional time or procedures are required in the process of enforcing these contractual arrangements, we may not be able to direct activities of the VIEs that most significantly affect the economic performance of the VIEs or receive substantially all of the economic benefits of the VIEs, and our ability to conduct our business may be negatively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shareholders of the VIEs may have actual or potential conflicts of interest with us, which may materially and adversely affect our business and financial condition.</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shareholders of the VIEs may have actual or potential conflicts of interest with us. These shareholders may breach, or cause the VIEs to breach, or refuse to renew, the existing contractual arrangements we have with them and the VIEs, which would have a material and adverse effect on our ability to effectively control the VIEs and receive economic benefits from them. For example, the shareholders may be able to cause our agreements with the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invoke the right under the equity pledge agreements with the shareholders of the VIEs to enforce the equity pledge in the case of any shareholder’s breach of the contractual arrangements. For individuals who are also our directors and officers, we rely on them to abide by the laws of the Cayman Islands, which provide that directors and officers owe a fiduciary duty to the company that requires them to act in good faith and in what they believe to be the best interests of the company and not to use their position for personal gains. The shareholders of the VIEs have executed powers of attorney to appoint the WFOE or a person designated by the WFOE to vote on their behalf and exercise voting rights as shareholders of the VIEs. If we cannot resolve any conflict of interest or dispute between us and the shareholders of the VIEs with these contractual arrangements, we would have to rely on legal proceedings, which could result in disruption of part of our business and subject us to substantial uncertainty as to the outcome of any such legal proceedings.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in relation to the VIEs may be subject to scrutiny by the tax authorities of mainland China and they may determine that we or the VIEs owe additional taxes, which could negatively affect our financial condition and the value of your investment.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applicable laws and regulations of mainland China, arrangements and transactions among related parties may be subject to audit or challenge by the tax authorities of mainland China within ten years after the taxable year when the transactions are conducted. We could face material and adverse tax consequences if the mainland China tax authorities determine that the VIE contractual arrangements were not entered into on an arm’s-length basis in such a way as to result in an impermissible reduction in taxes under applicable laws, rules and regulations of mainland China, and adjust the income of the VIEs in the form of a transfer pricing adjustment. A transfer pricing adjustment could, among other things, result in a reduction of expense deductions recorded by the VIEs for tax purposes in mainland China, which could in turn increase its tax liabilities without reducing tax expenses of our subsidiaries in mainland China. In addition, the tax authorities of mainland China may impose late payment fees and other penalties on the VIEs for the adjusted but unpaid taxes according to the applicable regulations. Our financial position could be materially and adversely affected if the VIEs’ tax liabilities increase or if it is required to pay late payment fees and other penalties.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the ability to use, or otherwise benefit from, the licenses, approvals and assets held by the VIEs, which could severely disrupt our business, render us unable to conduct some of our business operations and constrain our growth.</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part of our contractual arrangements with the VIEs, the VIEs hold certain assets (including equity interests in the subsidiaries of the VIEs), licenses and permits that are material to our business operations, such as the ICP License and the EDI License. The contractual arrangements contain terms that specifically obligate VIEs’ shareholders to ensure the valid existence of the VIEs and restrict the disposal of material assets of the VIEs. However, in the event the VIEs’ shareholders breach the terms of these contractual arrangements and voluntarily liquidate the VIEs, or the VIEs declare bankruptcy and all or part of its assets become subject to liens or rights of third-party creditors, or are otherwise disposed of without our consent, we may be unable to conduct some or even all of our business operations or otherwise benefit from the assets held by the VIEs, which could have a material adverse effect on our business, financial condition and results of operations. Furthermore, if any of the VIEs undergoes a voluntary or involuntary liquidation proceeding, its shareholders or unrelated third-party creditors may claim rights to some or all of the assets of such VIE, thereby hindering our ability to operate our business as well as constraining our growth.</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our WFOE and the VIEs for certain operations in mainland China. We also rely on dividends and other payments from the VIEs to pay dividends and other cash distributions to our shareholders, and any limitation on the ability of the VIEs to pay dividends to us could have a material adverse effect on our ability to pay dividends to our shareholders.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Yimutian Inc. is a Cayman Islands holding company and relies principally on dividends and other distributions paid by its subsidiaries in mainland China for cash needs, including paying dividends and other cash distributions to our shareholders, servicing any debt we and the VIEs may incur and paying our and the VIEs’ operating expenses. If the VIEs incur debt on their own behalf in the future, the instruments governing the debt may restrict their ability to pay dividends or make other distributions to us.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Current laws and regulations of mainland China permit our subsidiaries in mainland China to pay dividends to us only out of its retained earnings, if any, determined in accordance with Chinese accounting standards and regulations and the VIEs shall make up its losses of previous years when conducting outward remittance. Under the applicable requirements of laws and regulations of mainland China, the VIEs is required to set aside at least 10% of its accumulated after-tax profits based on PRC accounting standards each year to fund certain statutory reserves until the accumulated amount of such reserve reaches 50% of its registered capital. At its discretion, the WFOE may allocate a portion of its after-tax profits based on PRC accounting standards to its discretionary reserve fund, or its staff welfare and bonus funds. These reserve funds and staff welfare and bonus funds are not distributable as cash dividends. Any limitation on the ability of our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Mainland China</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and regulations of mainland China that could require us to modify our current business practices and incur increased costs, and the mainland China government’s oversight over our business operations could result in a material adverse change in our operations and the value of our Class A ordinary shares or ADSs.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operating subsidiaries and the VIEs are incorporated under and governed by the laws of mainland China. The legal system of mainland China is based on written statutes. Prior court decisions may be cited for reference, but have limited precedential value. In 1979, the mainland China government began to promulgate a comprehensive system of laws and regulations governing economic matters in general, such as foreign investment, corporate organization and governance, commerce, taxation and trade.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all of our business is conducted in mainland China, our operations are principally governed by laws and regulations of mainland China. The legal system in mainland China evolves rapidly, and the interpretations of laws, regulations and rules may change from time to time.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we may be required to modify our business practices and incur additional costs from time to time to maintain compliance with the requirements. The enforcement of laws in mainland China and rules and regulations in mainland China can change quickly with little advance notice. Their interpretations and enforcement involve uncertainties. These uncertainties could limit the legal protections available to us. In addition, a mainland China-based company, such as our company, may be subject to applicable processes or procedural requirements in order to obtain or maintain permits or licenses required to conduct business in mainland China. In the absence of required permits or licenses, government authorities could impose material sanctions or penalties on us. In addition, we may have to resort to administrative and court proceedings to enforce the legal protection that we enjoy either by law or contract. However, litigation typically takes time, which may result in substantial costs and diversion of our resources and management attention, and we cannot predict the outcome of administrative and court proceedings.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Similar to situations of many other countries, the mainland China government has oversight over the conduct of our business and may influence or intervene our operations at any time, which could result in a material change in our operations and/or the value of our Class A ordinary shares or ADSs. Recent regulatory developments in mainland China may subject us to additional regulatory review, including the cybersecurity review, data security assessment and disclosure requirement, or otherwise restrict our ability to offer securities and raise capital outside mainland China, all of which may affect the business of us and the VIEs and the value of our securities. Regulatory authorities in mainland China may in the future release regulations or policies regarding our industry that may have an impact on our business, financial condition and results of operations. Furthermore, the mainland China government has recently promulgated certain measures to supervise overseas securities offering of domestic entities, indicating an intent to exert more oversight and control over securities offerings and other capital markets activities that are conducted overseas and/or foreign investment in mainland China-based companies like us. If we fail to comply with the new measures relating to overseas securities offering of domestic entities, such failure could adversely affect our business, financial condition and results of operations and the value of our Class A ordinary shares or the ADSs, or significantly limit or completely hinder our ability to offer or continue to offer securities to investors and cause the value of such securities to significantly decline or in extreme cases, become worthless.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approval of and/or filing with the CSRC or other PRC government authorities may be required in connection with our offshore offerings under the laws of mainland China, and, if required, we cannot predict whether or for how long we will be able to obtain such approval or complete such filing.</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6, 2021, the relevant PRC government authorities issued Opinions on Strictly Cracking Down Illegal Securities Activities in Accordance with the Law. These opinions emphasized the need to strengthen the administration over illegal securities activities and the supervision on overseas listings by the PRC-based companies and proposed to take effective measures, such as promoting the construction of relevant regulatory systems to deal with the risks and incidents faced by mainland China-based overseas-listed companies.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17, 2023, the CSRC released the Trial Measures, and several supporting guidelines, which came into effect on March 31, 2023. Pursuant to the Trial Measures, domestic companies that seek to offer or list securities overseas, both directly and indirectly, should fulfill the filing procedure and report relevant information to the CSRC.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between RMB1 million and RMB10 million. See “Item 4. Information on the Company—B. Business Overview—Regulation—Regulations Relating to M&amp;A Rules and Overseas Listing.”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24, 2023, the CSRC, jointly with other government authorities, promulgated the Provisions on Strengthening the Confidentiality and Archives Administration Related to the Overseas Securities Offering and Listing by Domestic Enterprises, which took effect on March 31, 2023. According to these provisions, domestic companies, whether offering and listing securities overseas directly or indirectly, must strictly abide the applicable laws and regulations when providing or publicly disclosing, either directly or through their overseas listed entities, documents and materials to securities services providers such as securities companies and accounting firms or overseas regulators in the process of their overseas offering and listing. If such documents or materials contain any state secrets or government authorities work secrets, domestic companies must obtain the approval from competent government authorities according to the applicable laws, and file with the secrecy administrative department at the same level with the approving government authority. Furthermore, these provisions also provides that securities companies and securities service providers shall also fulfill the applicable legal procedures when providing overseas regulatory institutions and other relevant institutions and individuals with documents or materials containing any state secrets or government authorities work secrets or other documents or materials that, if divulged, will jeopardize national security or public interest. See “Item 4. Information on the Company—B. Business Overview—Regulations—Regulations Relating to M&amp;A Rules and Overseas Listing.” Since these provisions were promulgated only recently, uncertainties still exist with respect to the interpretation and implementation of such provisions and how they will affect us.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we cannot assure you that any new rules or regulations promulgated in the future will not impose additional requirements on us. If it is determined in the future that any additional approval and filing from the CSRC or other regulatory authorities or other procedures, including the cybersecurity review under the Measures for Cybersecurity Review, are required for our offshore offerings, it is uncertain whether we can or how long it will take us to obtain such approval or complete such filing procedures and any such approval or filing could be rescinded or rejected. Any failure to obtain or delay in obtaining such approval or completing such filing procedures for our offshore offerings, or a rescission of any such approval or filing if obtained by us, would subject us to sanctions by the CSRC or other PRC regulatory authorities for failure to seek CSRC approval or filing or other government authorization for our offshore offerings. These regulatory authorities may impose fines and penalties on our operations in mainland China, limit our ability to pay dividends outside of mainland China, limit our operating privileges in mainland China, delay or restrict the repatriation of the proceeds from our offshore offerings into mainland China or take other actions that could materially and adversely affect our business, financial condition, results of operations, and prospects, as well as the trading price of our listed securities. The CSRC or other PRC regulatory authorities also may take actions requiring us, or making it advisable for us, to halt our offshore offerings before settlement and delivery of the shares offered. Consequently, if investors engage in market trading or other activities in anticipation of and prior to settlement and delivery, they do so at the risk that settlement and delivery may not occur. In addition, if any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our listed securities.</w:t>
      </w:r>
    </w:p>
    <w:p>
      <w:pPr>
        <w:spacing w:after="0" w:line="1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ADSs may be prohibited from trading in the United States under the HFCAA in the future if the PCAOB is unable to inspect or investigate completely auditors located in mainland China and Hong Kong. The delisting of the ADSs, or the threat of their being delisted, may materially and adversely affect the value of your investment.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mainland China and Hong Kong. The independent registered public accounting firm that we use, Assentsure PAC, is headquartered in Singapore. On December 15, 2022, the PCAOB removed mainland China and Hong Kong from the list of jurisdictions where it is unable to inspect or investigate completely registered public accounting firms. On December 29, 2022, the Consolidated Appropriations Act, 2023, was signed into law, which amended the HFCAA (i) to reduce the number of consecutive non-inspection years required for triggering the prohibitions under the HFCAA from three years to two, and (ii) so that any foreign jurisdiction could be the reason why the PCAOB does not have complete access to inspect or investigate a company’s auditors. As it was originally enacted, the HFCAA applied only if the PCAOB’s inability to inspect or investigate because of a position taken by an authority in the foreign jurisdiction where the relevant public accounting firm is located. As a result of the Consolidated Appropriations Act, 2023, the HFCAA now also applies if the PCAOB’s inability to inspect or investigate the relevant accounting firm is due to a position taken by an authority in any foreign jurisdiction. The denying jurisdiction does not need to be where the accounting firm is located.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the jurisdiction where the accounting firm that we use to issue an audit report on our financial statements filed with the SEC is headquartered,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labor costs, including wages, and enforcement of more stringent labor laws and regulations in mainland China, could adversely affect our business, financial condition and results of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Overall economy and the average wage in mainland China have increased in recent years and are expected to continue to grow. The average wage level for our employees has also increased in recent years. We expect that our labor costs, including wages and employee benefits, will continue to increase. Unless we are able to pass on these increased labor costs to those who pay for our services, our results of operations may be materially and adversely affected.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PRC Social Insurance Law and the Administrative Measures on Housing Provident Fund, employees are required to participate in pension insurance, work-related injury insurance, medical insurance, unemployment insurance, maternity insurance, and housing provident funds, and employers are required, together with their employees or separately, to pay contribution to social insurance and housing provident funds for their employees. Government agencies may examine whether an employer has made adequate payments of the requisite statutory employee benefits, and employers who fail to make adequate payments may be subject to late payment fees, fines and/or other penalties. As of the date of this annual report, certain of our subsidiaries in mainland China and the VIEs failed to make adequate contribution of social insurance and housing provident fund for their employees based on an amount required by applicable laws of mainland China. In addition, certain subsidiaries and the VIEs made contribution of social insurance and housing provident fund for their employees in the name of certain third-party institutions, rather than in their own name. Competent authorities in mainland China may require us to pay, or in the case of any shortfalls, to cover, such social insurance and housing fund contributions, or require us to make contribution for our employees in the name of our subsidiaries and the VIEs. We could also be subject to fines and legal sanctions due to any failure to make social insurance and housing fund contributions for our employees.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have been subject to stricter regulatory requirements in terms of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the interpretation and implementation of labor-related laws and regulations are still evolving, we cannot assure you that our employment practices do not and will not violate labor-related laws and regulations in mainland China, which may subject us to labor disputes or government investigations. We cannot assure you that we have complied or will be able to comply with all labor-related law and regulations regarding including those relating to obligations to make social insurance payments and contribute to the housing funds. If we are deemed to have violated labor laws and regulations, we could be required to provide additional compensation to our employees and our business, financial condition and results of operations will be adversely affected.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Any severe or prolonged slowdown in the global or Chinese economy may adversely affect our business and results of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conducted all of our operations in mainland China and all of our revenues have been derived from our operations in mainland China. Our results of operations and prospects are, to a significant degree, subject to economic, political and legal developments in mainland China, as well as the global economic conditions in general. The global macroeconomic environment still faces numerous challenges. The Russia-Ukraine conflict, the Hamas-Israel conflict and the attacks on shipping in the Red Sea have heightened geopolitical tensions across the world. The impact of the Russia-Ukraine conflict on Ukraine food exports has contributed to increases in food prices and thus to inflation more generally. There have also been concerns about the relationship between China and other countries which may potentially have economic effects. In particular, there is significant uncertainty about the future relationship between the United States and China with respect to a wide range of issues including trade policies, treaties, government regulations and tariffs. Economic conditions in the areas where we operate are sensitive to global economic conditions, as well as changes in domestic economic and political policies and the expected or perceived overall economic growth rate. Any severe or prolonged slowdown in the economic conditions in the areas where we operate may materially and adversely affect the business, results of operations and our financial condition.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Heightened tensions in international relations, including between the United States and China, may adversely affect our business, financial condition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have been heightened tensions in international economic relations in recent years and these tensions may continue to escalate in the future. These tensions have resulted in changes in international trade policies and, as they further escalate, may result in additional barriers to trade. For example, the tensions between the United States and China in recent years have led to additional, or higher tariffs imposed by the United States on products imported from China and restrictions on the sale of certain products into the United States. China has responded by imposing, and proposing to impose additional, or higher tariffs on products imported from the United States, among other measures. While cross-border business currently is not an area of our focus, if we plan to expand our business internationally in the future, any unfavorable government policies on international trade may affect consumer demands, our ability to provide certain products through our platform or our ability to provide services in certain countries.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international political tensions have escalated and continue to be subject to uncertainties with respect to a wide range of issues. For example, the U.S. government has adopted measures aiming to prohibit or restrict U.S. investment in China-associated companies that operate in certain industries. Rising political tensions could reduce levels of trades, investments, technological exchanges, and other economic activities, which would materially and adversely affect the global economic conditions and the stability of global financial markets. These developments may also lead to increased compliance costs, operational disruptions, and potential constraints on our access to capital markets. Any further escalation of international tensions may have a negative impact on the general, economic, political, and social conditions of the countries where we intend to operate in the future and may adversely impact our business, financial condition and results of operations.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litigation and negative publicity surrounding mainland China-based companies listed in the United States may negatively impact the trading price of our ADSs.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recent litigation and negative publicity surrounding companies with operations in mainland China that are listed in the United States have negatively impacted the stock prices of these companies. Certain politicians in the United States have publicly warned investors to shun mainland China-based companies listed in the United States. The SEC and the PCAOB also issued a joint statement on April 21, 2020, reiterating the disclosure, financial reporting and other risks involved in the investments in companies that are based in emerging markets as well as the limited remedies available to investors who might take legal action against such companies. Furthermore, various equity-based research organizations have recently published reports on mainland China-based companies after examining their corporate governance practices, related party transactions, sales practices and financial statements, and these reports have led to special investigations and listing suspensions on U.S. national exchanges. Any similar scrutiny on us, regardless of its lack of merit, could cause the market price of our ADSs to fall, divert management resources and energy, cause us to incur expenses in defending ourselves against rumors, and increase the premiums we pay for director and officer insurance.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subsidiaries in mainland China to fund any cash and financing requirements we may have, and any limitation on the ability of our subsidiaries in mainland China to make payments to us could have a material and adverse effect on our ability to conduct our business.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Yimutian Inc. is a Cayman Islands holding company and relies principally on dividends and other distributions on equity from its subsidiaries and the VIEs in mainland China for our cash and financing requirements, including the funds necessary to pay dividends and other cash distributions to our shareholders and services of any debt we may incur. The ability of the subsidiaries and the VIEs in mainland China to distribute dividends is based upon their distributable earnings. Current regulations in mainland China permit our subsidiaries and the VIEs in mainland China to pay dividends to their respective shareholders only out of their accumulated profits, if any, determined in accordance with PRC accounting standards and regulations. In addition, each of our subsidiaries and the VIEs in mainland China is required to set aside at least 10% of its after-tax profits each year, if any, to fund a statutory reserve until such reserve reaches 50% of its registered capital. These reserves are not distributable as cash dividends. If our subsidiaries and the VIEs in mainland China incur debt on their own behalf in the future, the instruments governing the debt may restrict their ability to pay dividends or make other payments to us.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address the persistent capital outflow and the RMB’s depreciation against the U.S. dollar in the fourth quarter of 2016, the People’s Bank of China and the State Administration of Foreign Exchange, or SAFE, have implemented a series of capital regulation measures in the subsequent months, including stricter vetting procedures for mainland China-based companies to remit foreign currency for overseas acquisitions, dividend payments and shareholder loan repayments. For instance, the People’s Bank of China issued the Circular on Further Clarification of Relevant Matters Relating to Offshore RMB Loans Provided by Domestic Enterprises on November 26, 2016, which provides that offshore RMB loans provided by a domestic enterprise to offshore enterprises with which it has an equity relationship shall not exceed 30% of the domestic enterprise’s most recent audited owner’s equity, and such percentage limit has been increased to 50% in January 2021. The circular may constrain our subsidiaries in mainland China’ ability to provide offshore loans to us. The mainland China government may strengthen its capital regulations from time to time and dividends and other distributions of our subsidiaries in mainland China may be subject to tightened scrutiny in the future. Any limitation on the ability of our subsidiaries in mainland China to pay dividends or make other distributions to us could materially and adversely limit our ability to grow, make investments or acquisitions that could be beneficial to our business, pay dividends, or otherwise fund and conduct our business.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Enterprise Income Tax Law and its implementation rules provide that a withholding tax at a rate of 10% will be applicable to dividends payable by Chinese companies to non-mainland-China resident enterprises unless reduced under treaties or arrangements between the central government of mainland China and governments of other countries or regions where the non-mainland-China resident enterprises are tax resident.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custodians or authorized members of our controlling non-tangible assets, including chops and seals, may fail to fulfill their responsibilities, or misappropriate or misuse these assets.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law of mainland China, legal documents for corporate transactions, including agreements and contracts, are executed using the chop or seal of the signing entity or with the signature of a legal representative whose designation is registered and filed with SAMR. A company chop or seal may serve as the legal representation of the company towards third parties even when unaccompanied by a signature.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secure the use of our chops and seals, we have established internal control procedures and rules for using these chops and seals. In any event that the chops and seals are intended to be used, the responsible personnel will submit the application, which will then be verified and approved by authorized employees in accordance with our internal control procedures and rules. In addition, in order to maintain the physical security of our chops, we generally have them stored in secured locations accessible only to authorized employees.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If any employee obtains,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Mainland China regulations of loans to and direct investment in domestic entities by offshore holding companies and governmental regulations of currency conversion may restrict or delay us from using the proceeds of our initial public offering or other offshore financing activities to make loans or additional capital contributions to our subsidiaries in mainland China, which could adversely affect our liquidity and our ability to fund and expand our business.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an offshore holding company with subsidiaries in mainland China, we may transfer funds to our mainland China subsidiaries by means of loans or capital contributions. Any funds we transfer to our subsidiaries in mainland China, either as a shareholder loan or as an increase in registered capital, are subject to mainland China regulations and approval by or registration with government authorities in mainland China. According to the regulations on foreign-invested enterprises, or the FIEs, in mainland China, capital contributions to our subsidiaries in mainland China are subject to registration with SAMR or its local counterpart and registration with a local bank authorized by SAFE. In addition, (i) any foreign loan procured by our subsidiaries in mainland China is required to be registered with SAFE or its local branches and (ii) our subsidiaries in mainland China may not procure loans which exceed the difference between its total investment amount and registered capital or, as an alternative, they may only procure loans subject to the calculation approach and limitation as provided by the People’s Bank of China.</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March 30, 2015, SAFE promulgated the Circular on Reforming the Management Approach Regarding the Foreign Exchange Capital Settlement of Foreign-Invested Enterprises, or SAFE Circular 19, which took effect as of June 1, 2015 and was last amended in March 2023. SAFE Circular 19 launched a nationwide reform of the administration of the settlement of the foreign exchange capitals of FIEs and allows FIEs to settle their foreign exchange capital at their discretion, but continues to prohibit FIEs from using the Renminbi fund converted from their foreign exchange capital for expenditure beyond their business scopes, providing entrusted loans or repaying loans between nonfinancial enterprises. SAFE issued the Circular on Reforming and Regulating Policies on the Control over Foreign Exchange Settlement of Capital Accounts, or SAFE Circular 16, effective on June 9, 2016. Pursuant to SAFE Circular 16, enterprises registered in mainland China may also convert their foreign debts from foreign currency to Renminbi on a discretionary basis. SAFE Circular 16 provides an integrated standard for conversion of foreign exchange under capital account items (including, but not limited, to foreign currency capital and foreign debts) on a discretionary basis which applies to all enterprises registered in mainland China. SAFE Circular 16 reiterates the principle that Renminbi converted from foreign currency-denominated capital of a company may not be directly or indirectly used for purposes beyond its business scope or prohibited by laws or regulations in mainland China, while such converted Renminbi shall not be provided as loans to its non-affiliated entities. Violations of SAFE Circular 19 and SAFE Circular 16 could result in administrative penalties. SAFE Circular 19 and SAFE Circular 16 may significantly limit our ability to transfer any foreign currency we hold, including the net proceeds from our initial public offering or other offshore financing activities, to our mainland China subsidiaries, which may adversely affect our liquidity and our ability to fund and expand our business in mainland China. On October 23, 2019, SAFE further issued the Circular of the State Administration of Foreign Exchange on Further Promoting the Facilitation of Cross-Border Trade and Investment, or SAFE Circular 28, which took effect on the same day. SAFE Circular 28 allows non-investment foreign-invested enterprises to use their capital funds to make equity investments in mainland China as long as such investments do not violate then effective negative list for foreign investments and the target investment projects are genuine and in compliance with laws. In addition, SAFE Circular 28 stipulates that qualified enterprises in certain pilot areas may use their capital income from registered capital, foreign debt and overseas listing, for the purpose of domestic payments without providing authenticity certifications to the banks in advance for those domestic payments. On April 10, 2020, SAFE promulgated the Circular of SAFE on Optimizing Foreign Exchange Administration to Support the Development of Foreign-related Business the reform of facilitating the payments of incomes under the capital accounts shall be promoted nationwide. Violations of these circulars or any future foreign exchange related rules could result in severe monetary or other penalties.</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light of the various requirements imposed by the mainland China regulations on loans to, and direct investment in, domestic entities by offshore holding companies, we cannot assure you that we will be able to obtain the necessary government approvals or complete the necessary registrations in a timely manner, or at all, with respect to future capital contributions or foreign loans by us to our mainland China subsidiaries. If we fail to receive such approvals or complete such registration or filing, our ability to use the proceeds from our initial public offering or other offshore financing activities to capitalize our PRC operations may be negatively affected, which could adversely affect our liquidity and our ability to fund and expand our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M&amp;A Rules and certain other regulations in mainland China establish complex procedures for some acquisitions of Chinese companies by foreign investors, which could make it more difficult for us to pursue growth through acquisitions in mainland China.</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Rules on Merger &amp; Acquisition of Domestic Enterprises by Foreign Investors, or the M&amp;A Rules, adopted by six regulatory agencies in mainland China on August 8, 2006 and amended on June 22, 2009, and some other regulations and rules concerning mergers and acquisitions established additional procedures and requirements that could make merger and acquisition activities by foreign investors more time consuming and complex, including requirements in some instances that the MOFCOM be notified in advance of any change-of-control transaction in which a foreign investor takes control of a domestic enterprise in mainland China. Moreover, the PRC Anti-monopoly Law, or the Anti-monopoly Law, promulgated by the SCNPC on June 24, 2022, requires that SAMR shall approve in advance of any concentration of undertaking if certain thresholds are triggered. In addition, the security review related regulations and rules including Notice of the General Office of the State Council on the Establishment of the Security Review System for Mergers and Acquisitions of Domestic Enterprises by Foreign Investors and the Security Review Rules issued by General Office of the PRC State Council effective on March 4, 2011 and the Provisions on the National Security Review of Foreign Mergers and Acquisitions of Domestic Enterprises or the National Security Review Provisions, issued by the MOFCOM effective on September 1,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the rules prohibit any activities attempting to bypass a security review, including by structuring the transaction through a proxy or contractual control arrangement. In the future, we may grow our business by acquiring complementary businesses. The anti-monopoly enforcement agencies of mainland China have in recent years strengthened enforcement under the PRC Anti-monopoly Law. As a result, we may receive greater scrutiny and attention from regulators and more frequent and stringent investigation or review by regulators, which will increase our compliance costs, and it could be time-consuming to comply with the regulations described above to complete future transactions. Furthermore, any required approval processes, including obtaining approval from the MOFCOM or its local counterparts may delay or inhibit our ability to complete such transactions, which could affect our ability to expand our business or maintain our market share.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an adverse effect on our results of operations and the value of your investment.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conversion of Renminbi into other currencies, including U.S. dollars, is based on rates set by the People’s Bank of China. The Renminbi has fluctuated against other currencies, at times significantly and unpredictably. The value of Renminbi against other currencies is affected by changes in China’s political and economic conditions and by China’s foreign exchange policies, among other things. It is difficult to predict how market forces or government policies may impact the exchange rate between Renminbi and other currencies in the future.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Limited hedging options are available in mainland China to reduce our exposure to exchange rate fluctuations. As of the date of this annual report, we have not entered into any hedging transactions in an effort to reduce our exposure to foreign currency exchange risk. While we may enter into hedging transactions in the future, the availability and effectiveness of these hedges may be limited and we may not be able to adequately hedge our exposure or at all. In addition, our currency exchange losses may be magnified by foreign exchange regulations of mainland China that restrict our ability to convert Renminbi into foreign currency. As a result, fluctuations in exchange rates may have a material adverse effect on your investment.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mainland China, regulations relating to offshore investment activities by domestic residents may subject our domestic resident beneficial owners or our subsidiaries in mainland China to liability or penalties, limit our ability to inject capital into our subsidiaries in mainland China, limit ability of our subsidiaries in mainland China to increase their registered capital or distribute profits to us, or may otherwise adversely affect us.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SAFE issued Circular on Several Issues concerning Foreign Exchange Administration for Domestic Residents to Engage in Financing and in Return Investments via Overseas Special Purpose Companies, or Circular No. 75, on October 21, 2005, which became effective on November 1, 2005. Under Circular 75, prior registration with the local SAFE branch is required for domestic residents to establish or to control an offshore company for the purposes of financing that offshore company with assets or equity interests in an onshore enterprise located in mainland China. In July 2014, SAFE promulgated the Circular on Relevant Issues Concerning Foreign Exchange Control on Domestic Residents’ Offshore Investment and Financing and Roundtrip Investment Through Special Purpose Vehicles, or SAFE Circular 37, which repealed and replaced Circular 75 in its entirety. SAFE Circular 37 requires domestic residents (including mainland China individuals and mainland China corporate entities) to register with SAFE or its local branches in connection with their establishment or control of an offshore entity established for the purpose of overseas investment or financing with such domestic residents’ legally owned assets or equity interests in domestic enterprises or offshore assets or interests. SAFE Circular 37 is applicable to our shareholders who are domestic residents and may be applicable to any offshore acquisitions that we make in the future. See “Item 4. Information on the Company—B. Business Overview—Regulations—Regulations Relating to Foreign Exchange.”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complying with these regulations and to ensuring that our shareholders and beneficial owners who are subject thereto will comply with the SAFE rules and regulations. However, because the implementation of the regulatory requirements by the authorities of mainland China will be determined on an ad hoc basis depending on the facts and circumstances, we cannot assure you that such registration will always be practically available in all circumstances as provided in those regulations.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requested shareholders or beneficial owners who directly or indirectly hold shares in our Cayman Islands holding company and are known to us as being domestic residents to complete their registration with or to obtain approval by the local SAFE, the NDRC, or the MOFCOM branches. However, we may not be informed of the identities of all the mainland China individuals or entities holding direct or indirect interest in our company, nor can we compel our beneficial owners to comply with the SAFE registration requirements. As a result, we cannot assure you that all of our shareholders or beneficial owners who are domestic residents have complied with, and will in the future make, obtain or update any applicable registrations or approvals required by SAFE, the NDRC and the MOFCOM regulations. Any failure or inability by such shareholders, beneficial owners or our subsidiaries to comply with SAFE, the NDRC and the MOFCOM regulations may subject us to fines or legal sanctions, such as restrictions on our cross-border investment activities or ability of our subsidiaries in mainland China to distribute dividends to, or obtain foreign exchange-denominated loans from, our company or prevent us from making distributions or paying dividends. As a result, our business operations and our ability to make distributions to you could be materially and adversely affected.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regulations of mainland China regarding the registration requirements for employee stock incentive plans may subject the Chinese plan participants or us to fines and other legal or administrative sanctions.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SAFE Circular 37, domestic residents who participate in share incentive plans in overseas non-publicly-listed companies may submit applications to SAFE or its local branches for the foreign exchange registration with respect to offshore special purpose companies. In February 2012, SAFE promulgated the Notices on Issues Concerning the Foreign Exchange Administration for Domestic Individuals Participating in Stock Incentive Plan of Overseas Publicly Listed Company. Pursuant to these rules, domestic citizens of mainland China and non-domestic citizens who reside in mainland China for a continuous period of not less than one year who participate in any stock incentive plan of an overseas publicly listed company, subject to a few exceptions, are required to register with SAFE through a domestic qualified agent, which could be the subsidiaries in mainland China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mainland China citizens or who reside in mainland China for a continuous period of not less than one year and who have been granted options are subject to these regulations as our company is an overseas-listed company. Failure to complete SAFE registrations may subject them to fines and legal sanctions, and there may be additional restrictions on the ability of them to exercise their stock options or remit proceeds gained from sale of their stock into mainland China. We also face regulatory uncertainties that could restrict our ability to adopt additional incentive plans for our directors, executive officers and employees under mainland China law. See “Item 4. Information on the Company—B. Business Overview—Regulations—Regulations Relating to Foreign Exchange.”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State Administration of Taxation, or the SAT has issued circulars concerning employee share options or restricted shares. Under these circulars, employees working in mainland China who exercise share options, or whose restricted shares or restricted share units vest, will be subject to individual income tax of mainland China. Our subsidiaries in mainland China have obligations to file documents related to employee share options or restricted shares with tax authorities and to withhold individual income taxes of those employees related to their share options, restricted shares or restricted share units. In addition, the sales of the ADSs or shares held by such mainland China individual employees after their exercise of the options, or the vesting of the restricted shares or restricted share units, are also subject to mainland China individual income tax. If the employees fail to pay, or the subsidiaries in mainland China fail to withhold, their income taxes according to the laws, rules and regulations, the subsidiaries in mainland China may face sanctions imposed by the tax authorities or other government authorities of mainland China.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mainland China resident enterprise for mainland China enterprise income tax purposes, such classification could result in unfavorable tax consequences to us and our non-mainland-China shareholders and ADS holders.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mainland China with its “de facto management body” within mainland China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the Notice of the SAT Regarding the Determination of Chinese-Controlled Offshore Incorporated Enterprises as PRC Tax Resident Enterprises on the Basis of De Facto Management Bodies, or SAT Circular 82, and was amended in 2014 and 2017, which provides certain specific criteria for determining whether the “de facto management body” of a mainland China-controlled enterprise that is incorporated offshore is located in mainland China. Although this circular only applies to offshore enterprises controlled by mainland China enterprises or mainland China enterprise groups, not those controlled by mainland China individuals or foreigners, the criteria set forth in the circular may reflect the SAT’s general position on how the “de facto management body” test should be applied in determining the tax resident status of all offshore enterprises. According to SAT Circular 82, an offshore incorporated enterprise controlled by a mainland China enterprise or a mainland China enterprise group will be regarded as a mainland China tax resident by virtue of having its “de facto management body” in mainland China and will be subject to mainland China enterprise income tax on its global income only if all of the following conditions are met:</w:t>
      </w:r>
    </w:p>
    <w:p>
      <w:pPr>
        <w:spacing w:after="0" w:line="2" w:lineRule="exact"/>
        <w:rPr>
          <w:sz w:val="20"/>
          <w:szCs w:val="20"/>
          <w:color w:val="auto"/>
        </w:rPr>
      </w:pPr>
    </w:p>
    <w:p>
      <w:pPr>
        <w:ind w:left="240" w:hanging="232"/>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management and core management departments in charge of its daily operations function have their presence mainly in mainland China;</w:t>
      </w:r>
    </w:p>
    <w:p>
      <w:pPr>
        <w:spacing w:after="0" w:line="9" w:lineRule="exact"/>
        <w:rPr>
          <w:rFonts w:ascii="Times New Roman" w:cs="Times New Roman" w:eastAsia="Times New Roman" w:hAnsi="Times New Roman"/>
          <w:sz w:val="18"/>
          <w:szCs w:val="18"/>
          <w:color w:val="auto"/>
        </w:rPr>
      </w:pPr>
    </w:p>
    <w:p>
      <w:pPr>
        <w:jc w:val="both"/>
        <w:ind w:firstLine="8"/>
        <w:spacing w:after="0" w:line="252" w:lineRule="auto"/>
        <w:tabs>
          <w:tab w:leader="none" w:pos="2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financial and human resources decisions are subject to determination or approval by persons or bodies in mainland China; (iii) its major assets, accounting books, company seals, and minutes and files of its board and shareholders’ meetings are located or kept in mainland China; and (iv) not less than half of the enterprise’s directors or senior management with voting rights habitually reside in mainland China. Further to SAT Circular 82, in June 2018 the SAT amended the Measures for the Administration of Income Tax for Chinese-Funded Holding Resident Enterprises Registered Abroad (for Trial Implementation), or the SAT Bulletin 45, to provide more guidance on the implementation of SAT Circular 82. SAT Bulletin 45 provides for procedures and administration details of determination on resident status and administration on post-determination matters.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our company is not a mainland China resident enterprise for mainland China tax purposes. However, the tax resident status of an enterprise is subject to determination by mainland China tax authorities and the interpretation of the term “de facto management body.” If the tax authorities of mainland China determine that our company is a mainland China resident enterprise for enterprise income tax purposes, we will be subject to mainland China enterprise income on our worldwide income at the rate of 25%. Furthermore, we are required to withhold a 10% withholding tax from dividends we pay to our shareholders (including our ADS holders) that are non-resident enterprises. In addition, non-resident enterprise shareholders (including our ADS holders) may be subject to tax of mainland China at a rate of 10% on gains realized on the sale or other disposition of ADSs or Class A ordinary shares, if such gain is treated as derived from a source of mainland China. Furthermore, if we are deemed a mainland China resident enterprise, dividends paid to our non-mainland China individual shareholders (including our ADS holders) and any gain realized on the sale or other disposition of ADSs or Class A ordinary shares by such shareholders (including ADS holders) may be subject to tax of mainland China at a rate of 20% (which in the case of dividends may be withheld at source). These rates may be reduced by an applicable tax treaty, but it is unclear whether non-mainland China shareholders (including ADS holders) of our company would, in practice, be able to obtain the benefits of any tax treaties between their country of tax residence and mainland China in the event that we are treated as a mainland China resident enterprise. Any such tax may reduce the returns on your investment in the ADSs or Class A ordinary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mainland China resident enterprises by their non-mainland China holding companies.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3, 2015, the SAT issued the Public Notice Regarding Certain Enterprise Income Tax Matters on Indirect Transfer of Properties by Non-Tax Resident Enterprises, or the SAT Bulletin 7. SAT Bulletin 7 extends its tax jurisdiction to transactions involving the transfer of taxable assets through offshore transfer of a foreign intermediate holding company. In addition, SAT Bulletin 7 has introduced safe harbors for internal group restructurings and the purchase and sale of equity securities through a public securities market. SAT Bulletin 7 also brings challenges to both foreign transferor and transferee (or other person who is obligated to pay for the transfer) of taxable assets.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17, 2017, the SAT issued the Public Notice on Issues Relating to Withholding at Source of Income Tax of Non-resident Enterprises, or the SAT Bulletin 37, which came into effect on December 1, 2017 and was amended in June 15, 2018. The SAT Bulletin 37 further clarifies the practice and procedure of the withholding of non-resident enterprise income tax.</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 a non-resident enterprise transfers taxable assets indirectly by disposing of the equity interests of an overseas holding company, which is an Indirect Transfer, the non-resident enterprise as either transferor or transferee, or the mainland China entity that directly owns the taxable assets, may report such Indirect Transfer to the tax authorities. Using a “substance over form” principle, the tax authority of mainland China may disregard the existence of the overseas holding company if it lacks a reasonable commercial purpose and was established for the purpose of reducing, avoiding or deferring tax of mainland China. As a result, gains derived from such Indirect Transfer may be subject to enterprise income tax of mainland China, and the transferee or other person who is obligated to pay for the transfer is obligated to withhold the applicable taxes, currently at a rate of 10% for the transfer of equity interests in a mainland China resident enterprise. Both the transferor and the transferee may be subject to penalties under tax laws in mainland China if the transferee fails to withhold the taxes and the transferor fails to pay the taxes.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taxable assets in mainland China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Bulletin 7 and/or SAT Bulletin 37. For transfer of shares in our company by investors who are non-mainland-China resident enterprises, our subsidiaries in mainland China may be requested to assist in the filing under SAT Bulletin 7 and/or SAT Bulletin 37. As a result, we may be required to expend valuable resources to comply with SAT Bulletin 7 and/or SAT Bulletin 37 or to request the transferors from whom we purchase taxable assets to comply with these bulletins, or to establish that our company should not be taxed under these bulletins, which may have a material adverse effect on our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subsidiaries in mainland China may be obliged to withhold individual income taxes for the individual transferors during several historical share transfer transactions where our subsidiaries are transferees.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exist several historical share transfer transactions where some of our subsidiaries in mainland China were transferees and certain individuals were transferers. For each such share transfer transaction, our subsidiary involved was regarded as a withholding agent, having obligations to make tax declaration to competent tax authorities and withhold individual income taxes on behalf of transferor for his or her share transfer income. Although the historical share transfers were conducted for either nil or nominal consideration, we cannot rule out the possibilities that the consideration of such transactions and corresponding taxable income will be verified and adjusted by tax authorities under certain circumstances as specified in appliable tax laws, and thus our subsidiaries will be required to withhold relevant individual income taxes therefor. Failure to fulfill any of such obligations related to individual share transfer transactions may subject our subsidiaries to penalties under tax laws in mainland China.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against us based on foreign laws.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Yimutian Inc. is an exempted company incorporated with limited liability under the laws of the Cayman Islands. We conduct all of our operations in mainland China. As a result, the ability of a shareholder of our company to effect service of process upon us inside mainland China or to enforce against us or them in mainland China any judgment obtained from non-mainland China courts is subject to the laws and regulations of mainland China, and there is uncertainty as to whether an investor will be able to effect such service of process or enforcement of judgment.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recognition and enforcement of foreign judgments are basically provided for under the PRC Civil Procedures Law, which was promulgated by the National People’s Congress of the PRC, or the NPC, on April 9, 1991, and was last amended by SCNPC on December 24, 2021, taking effect as of January 1, 2022. Courts in mainland China may recognize and enforce foreign judgments in accordance with the requirements of the PRC Civil Procedures Law based either on treaties between the PRC and the country where the judgment is made or on principles of reciprocity between jurisdictions. China does not have written treaties providing for the reciprocal recognition and enforcement of judgments of courts with the United States, the Cayman Islands or many other countries and regions. In addition, according to the PRC Civil Procedures Law, the courts in mainland China will not enforce a foreign judgment if it is decided as having violated the basic principles of laws of mainland China or national sovereignty, security or public interest. Therefore, recognition and enforcement in mainland China of judgments of a court in any of these non-PRC jurisdictions in relation to any matter not subject to a binding arbitration provision are subject to determination in accordance with the laws and regulations of mainland China on an ad hoc basis depending on the facts and circumstances.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 U.S. Department of Justice and other U.S. authorities often have substantial difficulties in bringing and enforcing actions against non-U.S. companies and non-U.S. persons, including company directors and officers, in certain emerging markets, including mainland China. Legal and other obstacles to obtaining information needed for investigations or litigation or to obtaining access to funds outside the United States, lack of support from local authorities, and other various factors make it difficult for the U.S. authorities to pursue actions against non-U.S. companies and individuals, who may have engaged in fraud or other wrongdoings. Additionally, public shareholders investing in the ADSs have limited rights and few practical remedies in emerging markets where we operate, as shareholder claims that are common in the United States, including class actions under securities law and fraud claims, generally are difficult or impossible to pursue as a matter of law or practicality in many emerging markets, including mainland China. As a result of all of the above, you may have more difficulties in protecting your interests in your emerging market investments.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 or collect evidence within mainland China.</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may be difficult to pursue as a matter of law or practicality in many foreign jurisdictions, including mainland China. For example, in mainland China, there are legal, procedural or other requirements on providing information needed for regulatory investigations or litigation initiated outside mainland China. Although the authorities in mainland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a mutual and practical cooperation mechanism.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mainland China may increase difficulties faced by you in protecting your interests.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ADSs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ADSs is likely to be volatile, which could result in substantial losses to investors.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the trading price of our ADSs has been volatile since our ADSs started to trade on the Nasdaq on August 19, 2025. The trading price of the ADSs is likely to be volatile and could fluctuate widely due to factors beyond our control. This may happen because of broad market and industry factors, including the performance and fluctuation of the market prices of other companies with business operations located mainly in mainland China that have listed their securities in the United States. In addition to market and industry factors, the price and trading volume for the ADSs may be highly volatile for factors specific to our own operations, including the following:</w:t>
      </w:r>
    </w:p>
    <w:p>
      <w:pPr>
        <w:spacing w:after="0" w:line="183"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net revenues, earnings and cash flows;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solutions and expansions by us or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our services or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regulations, rules or policies relevant to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controlling shareholder’s business performance and reputation;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the ADSs will trade. Furthermore, the stock market in general experiences price and volume fluctuations that are often unrelated or disproportionate to the operating performance of companies like us. These broad market and industry fluctuations may adversely affect the market price of our ADSs. Volatility or a lack of positive performance in our ADS price may also adversely affect our ability to retain key employees, most of whom have been granted equity incentives.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class-action suits against those companies following periods of instability in the market price of their securities. If we were involved in a class-action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Nasdaq’s minimum bid price or minimum market value of publicly held shares requirements, our ADSs could be subject to delisting, which may significantly reduce the liquidity of our ADSs and cause further declines to the market price of our ADSs.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ADSs are currently listed on the Nasdaq Global Market under the trading symbol “YMT.” The Nasdaq Listing Rules have minimum requirements that a company must meet for continued listing on Nasdaq. These requirements include maintaining a minimum closing bid price of US$1.00 per ADS and a minimum market value of publicly held shares of US$15 million for a period of 30 consecutive trading days.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6, 2025, we received a written notice from Nasdaq indicating that we no longer meet the continued listing requirement of minimum Market Value of Publicly Held Shares (“MVPHS”) for Nasdaq, because our MVPHS for the last 30 consecutive business days was below the minimum MVPHS requirement of US$15 million. We were granted a grace period of 180 calendar days, expiring on May 5, 2026, in which to regain compliance. To regain compliance, our MVPHS must close at US$15 million or more for a minimum of ten consecutive business days during the compliance period, unless Nasdaq exercises its discretion to extend this ten-day period.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 2026, we received another written notice from Nasdaq indicating we are not in compliance with the US$1.00 minimum bid price requirement under the Nasdaq Listing Rules. Based on the closing bid price of the our ADSs from February 18, 2026 to April 1, 2026, we have not met the minimum bid price requirement set forth in the Nasdaq Listing Rules during that period. We were granted a grace period of 180 calendar days, expiring on September 29, 2026, in which to regain compliance. To regain compliance, the closing bid price of our ADSs must meet or exceed US$1.00 per ADS for at least ten consecutive business days during the compliance period, unless Nasdaq exercises its discretion to extend this ten-day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currently evaluating options to regain compliance with Nasdaq’s continued listing requirements. Although we will use all reasonable efforts to achieve compliance with the minimum bid price and minimum MVPHS requirements, there can be no assurance that we will be able to regain compliance with these requirements or will otherwise be in compliance with other Nasdaq continued listing requirements. If we will not be able to cure the deficiencies in a timely manner, or if we are otherwise not eligible, Nasdaq will provide notice that our securities will be subject to delisting. The delisting of our ADSs may significantly reduce the liquidity of our ADSs, cause further declines to the market price of our ADSs, and make it more difficult for us to obtain adequate financing to support our continued operation.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This election allows us to delay the adoption of new or revised accounting standards that have different effective dates for public and private companies until those standards apply to private companies, and as a result of this election our financial statements may not be comparable to those of companies that comply with public company effective dates, including other emerging growth companies that have not made this election.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the inability to participate in rights offerings.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to publish research or reports about our business, or if they adversely change their recommendations regarding the ADSs, the market price for the ADSs and trading volume could decline.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substantial amounts of ADSs could adversely affect their market price.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of substantial amounts of ADSs in the public market, or the perception that these sales could occur, could adversely affect the market price of the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the ADSs. In addition, if we issue additional ordinary shares, either through private transactions or in the public markets in the United States or other jurisdiction, your ownership interests in our company would be diluted and this, in turn, would have an adverse effect on the price of our ADSs.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the ADSs.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issuer and its business prospects in order to create negative market momentum and generate profits for themselves after selling a security short. These short attacks have, in the past, led to selling of shares in the market.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Public companies that have substantially all of their operations in mainland China have been the subject of short selling. Much of the scrutiny and negative publicity have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Forum selection provisions in our memorandum and articles of association and our deposit agreement with the depositary bank could limit the ability of holders of our Class A ordinary shares, ADSs or other securities to obtain a favorable judicial forum for disputes with us, our directors and officers, the depositary bank, and potentially others.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are the exclusive forum within the United States for the resolution of any complaint asserting a cause of action arising under the Securities Act and the Exchange Act. Our deposit agreement also provides that the United States District Court for the Southern District of New York (or, if (i) the United States District Court for the Southern District of New York lacks subject matter jurisdiction over a particular dispute or (ii) the designation of the United States District Court for the Southern District of New York as the exclusive forum for any particular dispute is, or becomes, invalid, illegal or unenforceable, the state courts in New York County, New York) is the exclusive forum for the resolution of any complaint asserting a cause of action arising under the Securities Act or the Exchange Act. However, the enforceability of similar federal court choice of forum provisions has been challenged in legal proceedings in the United States, and it is possible that a court could find this type of provision to be inapplicable, unenforceable, or inconsistent with other documents that are relevant to the filing of such lawsuits. If a court were to find the federal choice of forum provision contained in our memorandum and articles of association or our deposit agreement to be inapplicable or unenforceable in an action, we may incur additional costs associated with resolving such action in other jurisdictions. If upheld, the forum selection clause in our memorandum and articles of association, as well as the forum selection provisions in the deposit agreement, may limit a security-holder’s ability to bring a claim against us, our directors and officers, the depositary bank, and potentially others in his or her preferred judicial forum, and this limitation may discourage such lawsuits. In addition, the Securities Act provides that both federal and state courts have jurisdiction over suits brought to enforce any duty or liability under the Securities Act or the rules and regulations thereunder. Accepting or consent to this forum selection provision does not constitute a waiver by you of compliance with federal securities laws and the rules and regulations thereunder. You may not waive compliance with federal securities laws and the rules and regulations thereunder. The exclusive forum provision in our memorandum and articles of association will not operate so as to deprive the courts of the Cayman Islands from having jurisdiction over matters relating to our internal affairs.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depositary for the ADSs will give us a discretionary proxy to vote our Class A ordinary shares underlying your ADSs at shareholders’ meetings if you do not give voting instructions to the depositary, except in limited circumstances, which could adversely affect your interests.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deposit agreement for the ADSs, the depositary will give us a discretionary proxy to vote our Class A ordinary shares underlying your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at shareholders’ meetings if you do not give voting instructions to the depositary, unless:</w:t>
      </w:r>
    </w:p>
    <w:p>
      <w:pPr>
        <w:spacing w:after="0" w:line="207"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failed to timely provide the depositary with our notice of meeting and related voting materials;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if approved, would materially and adversely affect the rights of shareholders.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if you fail to give voting instructions to the depositary, you cannot prevent our ordinary shares underlying your ADSs from being voted, absent the situations described above, and it may make it more difficult for shareholders to influence our management. Holders of our ordinary shares are not subject to this discretionary proxy.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a price appreciation of the ADSs for a return on your investment.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the ADSs as a source for any future dividend income.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requirements of Cayman Islands law. In addition, our shareholders may by ordinary resolution declare a dividend, but no dividend may exceed the amount recommended by our directors. In either case, all dividends are subject to certain restrictions under Cayman Islands law, namely that our company may pay a dividend out of either profit or a share premium account, provided always that in no circumstances may a dividend be paid if this would result in our company being unable to pay its debts as they fall due in the ordinary course of business.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or even maintain the price at which you purchased the ADSs. You may not realize a return on your investment in the ADSs and you may even lose your entire investment in the ADSs.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maybe limited, because Yimutian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 incorporated under Cayman Islands law.</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Yimutian Inc. is an exempted company incorporated with limited liability under the laws of the Cayman Islands. The corporate affairs of Yimutian Inc. are governed by our memorandum and articles of association, as amended and restated from time to time, the Companies Act (As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and Wales, the decisions of whose courts are of persuasive authority, but are not binding, on a court in the Cayman Islands. The rights of our shareholders and the fiduciary duties of our directors under Cayman Islands law may be narrower in scope or less developed than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with respect to Cayman Islands companies, plaintiffs may face special obstacles, including but not limited to those relating to jurisdiction and standing, in attempting to assert derivative claims in state or federal courts of the United States. In addition, while under Delaware law, controlling shareholders owe fiduciary duties to the companies they control and their minority shareholders, under Cayman Islands law, our controlling shareholders do not owe any such fiduciary duties to our company or to our minority shareholders. Accordingly, our controlling shareholders may exercise their powers as shareholders, including the exercise of voting rights in respect of their shares, in such manner as they think fit, subject only to very limited equitable constraints. One of the examples of such constraint is that the exercise of voting rights to amend the memorandum or articles of association of a Cayman Islands company must be exercised in good faith for the benefit of our company as a whole.</w:t>
      </w:r>
    </w:p>
    <w:p>
      <w:pPr>
        <w:spacing w:after="0" w:line="1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or to obtain copies of register of members of these companies (other than the memorandum and articles of association, special resolutions which have been passed by shareholders and register of mortgages and charges). Under Cayman Islands law, the names of our current directors can be obtained from a search conducted at the Registrar of Companies in the Cayman Islands.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the United States. If we choose to follow home country practice, our shareholders may be afforded less protection than they otherwise would under rules and regulations applicable to U.S. domestic issuers.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 For a discussion of significant differences between the provisions of the Companies Act (As Revised) of the Cayman Islands and the laws applicable to companies incorporated in the United States and their shareholders, see “Item 10. Additional Information—B. Memorandum and Articles of Association—Differences in Corporate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and substantially all of our assets are located outside of the United States. All of our current operations are conducted in mainland China. As a result, it may be difficult or impossible for you to bring an action against us or against our directors and executive officers in the United States in the event that you believe that your rights have been infringed under the U.S. federal securities laws or otherwise. Even if you are successful in bringing an action of this kind, the laws of the Cayman Islands and of mainland China may render you unable to enforce a judgment against our assets or the assets of our directors and officers. For more information regarding relevant laws of the Cayman Islands and of mainland China, see “Item 6. Directors, Senior Management and Employees—E. Share Ownership—Enforceability of Civil Liabilities.” However, the deposit agreement gives you the right to submit claims against us to binding arbitration, and arbitration awards may be enforceable against us and our assets in mainland China even when court judgments are not.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A ordinary shares provides that, to the fullest extent permitted by applicable law, ADS holders waive any right they may have to a trial by jury in any suit, action or proceeding against us or the depositary directly or indirectly arising out of, based on or relating in any way to our shares or other deposited securities, the ADSs or the ADRs, the deposit agreement or any transaction contemplated therein, or the breach thereof (whether based on contract, tort, common law or any other theory), including any suit, action, claim or proceeding under the U.S. federal securities laws.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or the depositary were to oppose a jury trial based on this waiver, the court would have to determine whether the waiver was enforceable based on the facts and circumstances of the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or by a federal or state court in the State of New York, which has nonexclusive jurisdiction over matters arising under the deposit agreement. In determining whether to enforce a contractual pre-dispute jury trial waiver, courts will generally consider whether a party knowingly, intelligently and voluntarily waived the right to a jury trial. We believe that this would be the case with respect to the deposit agreement and the ADSs. It is advisable that you consult legal counsel regarding the jury waiver provision before investing in the ADSs.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you or any other owners or holders of ADSs bring a claim against us or the depositary in connection with matters arising under the deposit agreement or the ADSs, including claims under federal securities laws, you or such other owners or holders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including outcomes that could be less favorable to the plaintiff(s) in any such action.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Nevertheless, if this jury trial waiver is not permitted by applicable law, an action could proceed under the terms of the deposit agreement with a jury trial. No condition, stipulation or provision of the deposit agreement or the ADSs serves as a waiver by any owner or holder of ADSs or by us or the depositary of compliance with any substantive provision of the U.S. federal securities laws and the rules and regulations promulgated thereunder.</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direct the voting of the Class A ordinary shares underlying the ADSs.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an exempted company with limited liability incorporated in the Cayman Islands, Yimutian Inc. is not obliged by the Companies Act (As Revised) to call shareholders’ annual general meetings. As a holder of ADSs, you will not have any direct right to attend general meetings of our company or to cast any votes at such meetings. You will only be able to exercise the voting rights which attach to the Class A ordinary shares underlying the ADSs indirectly by giving voting instructions to the depositary in accordance with the provisions of the deposit agreement. Under the deposit agreement, you may vote only by giving voting instructions to the depositary, as holder of the Class A ordinary shares underlying the ADSs. Upon receipt of your voting instructions, the depositary may try to vote the Class A ordinary shares underlying the ADSs in accordance with your instructions. If we ask for your instructions, then upon receipt of your voting instructions, the depositary will try to vote the underlying Class A ordinary shares in accordance with those instructions. If we do not instruct the depositary to ask for your instructions, the depositary may still vote in accordance with instructions you give, but it is not required to do so. You will not be able to directly exercise any right to vote with respect to the underlying Class A ordinary shares unless you cancel the ADSs and withdraw the shares and become the registered holder of such shares prior to the record date for the general meeting. When a general meeting is convened, you may not receive sufficient advance notice of the meeting to enable you to withdraw the shares underlying the ADSs and become the registered holder of such shares prior to the record date for the general meeting to allow you to attend the general meeting and to vote directly with respect to any specific matter or resolution to be considered and voted upon at the general meeting. In addition, under our currently effective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the ADSs and becoming the registered holder of such shares prior to the record date, so that you would not be able to attend the general meeting or to vote directly. Where any matter is to be put to a vote at a general meeting, the depositary will notify you of the upcoming vote and deliver our voting materials to you, if we ask it to. We cannot assure you that you will receive the voting materials in time to ensure you can direct the depositary to vote your shares. In addition, the depositary and its agents are not responsible for failing to carry out voting instructions or for their manner of carrying out your voting instructions. This means that you may not be able to exercise your right to direct how the shares underlying the ADSs are voted and you may have no legal remedy if the shares underlying the ADSs are not voted as you requested.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the ADSs may not receive cash dividends if the depositary decides it is impractical to make them available to such 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depositary will pay cash dividends on the ADSs only to the extent that we decide to distribute dividends on our ordinary shares or other deposited securities, and we do not have any present plan to pay any cash dividends on our ordinary shares in the foreseeable future. To the extent that there is a distribution, the depositary of the ADSs has agreed to pay to holders of the ADSs the cash dividends or other distributions it or the custodian receives on our ordinary shares or other deposited securities after deducting its fees and expenses. Holders of the ADSs will receive these distributions in proportion to the number of ordinary shares the ADSs represent. However, the depositary may, at its discretion, decide that it is inequitable or impractical to make a distribution available to any holders of the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holders of the ADSs.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currently effective memorandum and articles of association contain anti-takeover provisions that could discourage a third party from acquiring us and adversely affect the rights of holders of our ordinary shares and ADSs.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contain provisions to limit the ability of others to acquire control of our company or cause us to engage in change-of-control transactions, including provisions that authorize our board of directors to issue preferred shares in one or more series and to designate the price, rights, preferences, privileges and restrictions of such preferred shares without any further vote or action by our shareholders. These provisions could have the effect of depriving our shareholders of an opportunity to sell their shares at a premium over prevailing market prices by discouraging third parties from seeking to obtain control of our company in a tender offer or similar transaction.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any fees on a per ADS basis, charges or expenses (other than share transfer or other taxes and other governmental charges, transfer or registration fees, the transaction fee per cancellation request (including any cancellation request made through SWIFT, facsimile transmission or any other method of communication) applicable delivery expenses or other such fees, charges or expenses, or that would otherwise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For example, terminations may occur when the ADSs are delisted from the stock exchange in the United States on which the ADSs are listed and we do not list the ADSs on another stock exchange in the United States, nor is there a symbol available for over-the-counter trading of the ADSs in the United States.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the transfer of the ADSs.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ADSs are transferable on the books of the depositary. However, the depositary may close its books at any time or from time to time when it deems it expedient in connection with the performance of its duties and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limits your ability to influence corporate matters and could discourage others from pursuing any change of control transactions that holders of our Class A ordinary shares and ADSs may view as beneficial.</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authorized and issued ordinary shares are divided into Class A ordinary shares and Class B ordinary shares (with certain shares remaining undesignated, with power for our directors to designate and issue such classes of shares as they think fit.) Holders of Class B ordinary shares are entitled to twenty (20) votes per share, while the holder of Class A ordinary shares will be entitled to one vote per share. Each Class B ordinary share is convertible into an equal number of Class A ordinary share at any time by the holders thereof, while Class A ordinary shares are not convertible into Class B ordinary shares under any circumstances.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February 28, 2026, Mr. Jinhong Deng, our founder, chairman of the board of directors and chief executive officer, was able to exercise 75.79% of the total voting power of our issued and outstanding share capital. For more details, see “Item 6. Directors, Senior Management and Employees —E. Share Ownership.” As a result of the dual-class share structure and the concentration of ownership, the holders of Class B ordinary shares will have considerable influence over matters such as decisions regarding mergers and consolidations, election of directors, and other significant corporate actions. Any conversion of Class B ordinary shares into Class A ordinary shares may dilute the percentage ownership of the existing holders of Class A ordinary shares within their class of ordinary shares. In addition, the holders of Class B ordinary shares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the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ordinary shares may adversely affect the trading market for the ADSs.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ordinary shares may prevent the inclusion of the ADSs representing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the ADSs. Any actions or publications by shareholder advisory firms critical of our corporate governance practices or capital structure could also adversely affect the value of the ADSs.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our management have additional obligations that require their attention and we incur additional legal, accounting and other expenses that we have not incurred as a private company, including costs associated with public company reporting requirements. We also have incurred and will incur costs associated with the Sarbanes-Oxley Act, the Dodd-Frank Wall Street Reform and Consumer Protection Act and related rules implemented or to be implemented by the SEC and the rules of Nasdaq.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and will require our management and personnel to devote a substantial amount of time to comply with these rules and regulations.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Yimutian Inc. is a “controlled company” as defined under the Nasdaq Stock Market Rule. As a result, we will qualify for, and intend to rely on, exemptions from certain corporate governance requirements that would otherwise provide protection to shareholders of other companies.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Yimutian Inc. is a “controlled company” as defined under the Nasdaq Stock Market Rules because Mr. Deng owns more than 50% of our total voting power. For so long as we remain a controlled company, we may rely on certain exemptions from the corporate governance rules.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See “—We are a foreign private issuer within the meaning of the rules under the Exchange Act, and as such we are exempt from certain provisions applicable to U.S. domestic public companies” and “—As an exempted company incorporated in the Cayman Islands, Yimutian Inc. is permitted to adopt certain home country practices in relation to corporate governance matters that differ significantly from the Nasdaq listing standards. These practices may afford less protection to shareholders than they would enjoy if we complied fully with the Nasdaq listing standards.”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62" w:lineRule="exact"/>
        <w:rPr>
          <w:sz w:val="20"/>
          <w:szCs w:val="20"/>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quarterly certifications by the principal executive and financial officers or current reports on Form 8-K;</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audit committee independence requirements in Rule 10A-3 of the Exchange Act.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on a quarterly basis as press releases, distributed pursuant to the rules and regulations of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For example, U.S. domestic issuers are required to file annual reports within 60 to 90 days from the end of each fiscal year. As a result, you may not be afforded the same protections or information that would be made available to you were you investing in a U.S. domestic issuer.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an exempted company incorporated in the Cayman Islands, Yimutian Inc. is permitted to adopt certain home country practices in relation to corporate governance matters that differ significantly from the Nasdaq listing standards. These practices may afford less protection to shareholders than they would enjoy if we complied fully with the Nasdaq listing standards.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Cayman Islands exempted company listed on Nasdaq, we are subject to the Nasdaq Stock Market listing standards. However, Nasdaq rules permit a foreign private issuer like us to follow the corporate governance practices of its home country. Certain corporate governance practices in the Cayman Islands, which is our home country, may differ significantly from the Nasdaq listing standards. We currently intend to follow Cayman Islands corporate governance practices in lieu of the corporate governance requirements of Nasdaq that listed companies must have a majority of independent directors. To the extent that we choose to follow home country practice in the future, our shareholders may be afforded less protection than they otherwise would enjoy under the Nasdaq listing standards applicable to U.S. domestic issuers.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a passive foreign investment company for U.S. federal income tax purposes, which could result in adverse U.S. federal income tax consequences to U.S. investors in the ADSs or Class A ordinary shares.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general, a non-U.S. corporation is a passive foreign investment company (“PFIC”) for U.S. federal income tax purposes for any taxable year in which (i) 50% or more of the value of its assets (generally determined on the basis of a quarterly average) consists of assets that produce, or are held for the production of, passive income (the “asset test”), or (ii) 75% or more of its gross income consists of passive income. Although the law in this regard is not entirely clear, we treat our VIEs and their subsidiaries as being owned by us for U.S. federal income tax purposes because we control their management decisions and are entitled to substantially all of the economic benefits associated with them. As a result, we consolidate their results of operations in our consolidated U.S. GAAP financial statements. If it were determined, however, that we are not the owner of our VIEs and their subsidiaries for U.S. federal income tax purposes, we may be treated as a PFIC for the current and subsequent taxable years.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Assuming that we are the owner of the VIEs for U.S. federal income tax purposes, and based upon the current and anticipated value of our assets and the composition of our income and assets, including goodwill and other unbooked intangibles, we do not believe we were a PFIC for our taxable year ended December 31, 2025. However, no assurance can be given in this regard because the determination of whether we will be or become a PFIC for any taxable year is a fact intensive determination made annually that depends, in part, upon the composition and classification of our income and assets. Fluctuations in the market price of our ADSs may cause us to be or become classified as a PFIC for the current or future taxable years because the value of our assets for purposes of the asset test, including the value of our goodwill and unbooked intangibles, may be determined by reference to the market price of our ADSs from time to time (which may be volatile). In particular, recent declines in the market price of our ADSs significantly increased our risk of becoming a PFIC. The market price of our ADSs may continue to fluctuate considerably and, consequently, we cannot assure you of our PFIC status for any taxable year. Furthermore, the composition of our income and assets may also be affected by how, and how quickly, we use our liquid assets. Under circumstances where revenues from activities that produce passive income significantly increase relative to our revenues from activities that produce non-passive income, or where we determine not to deploy significant amounts of cash for active purposes, our risk of being or becoming classified as a PFIC may substantially increase.</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were to be or become a PFIC in any taxable year during which a U.S. Holder (as defined in “Item 10. Additional Information—E. Taxation —United States Federal Income Tax Considerations”) holds our ADSs or ordinary shares, certain adverse U.S. federal income tax consequences could apply to such U.S. Holder. For more information see “Item 10. Additional Information—E. Taxation—United States Federal Income Tax Considerations— Passive Foreign Investment Company Considerations” and “Item 10. Additional Information—E. Taxation—United States Federal Income Tax Considerations—Passive Foreign Investment Company Rules.”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being a public company.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The Sarbanes-Oxley Act of 2002, as well as rules subsequently implemented by the SEC and Nasdaq, impose various requirements on the corporate governance practices of public companies. We expect these rules and regulations to increase our legal and financial compliance costs and to make some corporate activities more time-consuming and costly.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with acceptable policy limits and coverage, should we decide to purchase such insurance.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past, shareholders of a public company often brought securities class action suits against companies following periods of instability in the market price of those companies’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after we are no longer an “emerging growth company,” we expect to incur significant expenses and devote substantial management effort toward ensuring compliance with the requirements of Section 404 of the Sarbanes-Oxley Act of 2002 and the other rules and regulations of the SEC.</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43"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We commenced our business operations in China under the brand name of Yi Cun Wang (</w:t>
      </w:r>
      <w:r>
        <w:rPr>
          <w:rFonts w:ascii="SimSun" w:cs="SimSun" w:eastAsia="SimSun" w:hAnsi="SimSun"/>
          <w:sz w:val="18"/>
          <w:szCs w:val="18"/>
          <w:color w:val="auto"/>
        </w:rPr>
        <w:t>易村网</w:t>
      </w:r>
      <w:r>
        <w:rPr>
          <w:rFonts w:ascii="Times New Roman" w:cs="Times New Roman" w:eastAsia="Times New Roman" w:hAnsi="Times New Roman"/>
          <w:sz w:val="18"/>
          <w:szCs w:val="18"/>
          <w:color w:val="auto"/>
        </w:rPr>
        <w:t>) in 2011 through Yi Cun Tong Da (Beijing) Network Technology Co., Ltd., which was established on August 1, 2011 and renamed as Beijing Yimutian Xinnong Network Co., Ltd., or Yimutian Xinnong, on June 15, 2015. On June 15, 2015, we also changed our brand name to Yimutian. Beijing Douniu was established on May 28, 2015 under the name of Beijing Tian Rong Yi Network Technology Co., Ltd. and was changed to its current name on December 26, 2018. Since our inception in 2011, we have been led by our founders and directors, Mr. Jinhong Deng, Mr. Zhijia Liu and Mr. Mi Zhou, who have nearly two decades of experience in both the agriculture industry and the internet technology industry. See “Item 6. Directors, Senior Management and Employees” for more information. We focus on digitalizing China’s agricultural infrastructure and facilitating transactions of agricultural products from farmland to wholesale markets and business buyers and to maximize transaction efficiency.</w:t>
      </w:r>
    </w:p>
    <w:p>
      <w:pPr>
        <w:spacing w:after="0" w:line="1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further facilitate offshore financing, we established Yimutian Inc. in the Cayman Islands on January 29, 2014. On February 25, 2014, Yimutian Inc. established a wholly owned subsidiary, Yimutian Hong Kong Limited, or Yimutian HK, in Hong Kong as an intermediate holding company. Yimutian HK further established a wholly owned subsidiary, Beijing Yimutian Network Technology Co., Ltd., or Beijing Yimutian, on May 14, 2014 in mainland China. Beijing Yimutian currently primarily engages in digital agricultural commerce services.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30, 2014, we entered into a series of contractual agreements with Yimutian Xinnong and its shareholders then through our WFOE. These contractual agreements were subsequently replaced and superseded by updated agreements on November 8, 2017, March 27, 2020 and October 18, 2023, respectively. On December 14, 2016, we entered into a series of contractual agreements with Beijing Douniu (which was under the name of Beijing Tian Rong Yi Network Technology Co., Ltd.) and its shareholders then through our WFOE. These contractual agreements were subsequently replaced and superseded by a series of updated contractual agreements on December 26, 2018 and October 18, 2023, respectively.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contractual arrangements, we are considered the primary beneficiary of Yimutian Xinnong and Beijing Douniu for accounting purpose and have consolidated their operating results in our financial statements under U.S. GAAP, to the extent the conditions for consolidation of these companies under U.S. GAAP were satisfied.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August 15, 2018, Yimutian Xinnong established Guangdong Yimutian Network Technology Co., Ltd., or Guangdong Yimutian, which engages in the provision of digital agricultural solutions, as its wholly-owned subsidiary.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2025, we completed our initial public offering and listed our ADSs on the Nasdaq Global Market under the symbol “YMT”. We raised approximately US$11.5 million in net proceeds from the issuance of new shares from the initial public offering after deducting underwriting commissions and the other offering expenses payable by us.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8, 2025, we entered into a securities purchase agreement with a certain institutional investor, pursuant to which we agreed to issue and sell up to an aggregate principal amount of US$30,000,000 senior convertible promissory note, or the Notes, which are convertible into our ADSs. On December 8, 2025, we issued and sold to the Investor in the initial closing, a Note in the original principal amount of US$3,370,000. On March 25, 2026, we issued and sold to the institutional investor the second Note in the original principal amount of US$1,500,000. In connection with the Notes, the Company filed a registration statement on Form F-1 to registered the resale of the ADSs on March 2, 2026, which was declared effective by the SEC on March 5, 2026. Upon satisfaction of certain other conditions, the securities purchase agreement contemplates additional closings of up to $25,130,000 in aggregate principal amount of additional Notes.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Note will bear interest at a rate of 10% per annum. Interest is payable in arrears on the first calendar day of each calendar month, beginning January 1, 2026. Unless earlier converted, redeemed or extended, the Notes will mature on the one-year anniversary of their respective issuance dates. The holder of Notes may convert all, or any part, of the outstanding principal of the Notes, together with accrued and unpaid interest, and any late charges thereon, at any time, at such holder’s option, into ADSs at the lower of (i) the conversion price, initially, $1.30 per ADS (subject to adjustment including for anti-dilution events and proportional adjustment upon the occurrence of any share split or subdivision, share dividend, share consolidation or combination and/or similar transactions, recapitalization or similar event, and we refer to such conversion price as adjusted as the “Conversion Price”) and (ii) the Market Price (as defined in the Notes) then in effect.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plans to change the ratio of its American Depositary Shares (“ADSs”) to its Class A ordinary shares (the “ADS Ratio Change”) from the current ratio of one ADS representing 25 Class A ordinary shares to 375 Class A ordinary shares, effective on or around May 18, 2026, U.S. Eastern time. For the Company’s ADS holders, the ADS Ratio Change will have the same effect as a 15-for-1 reverse split. Upon the Effective Date, ADS holders will be required to surrender and exchange every 15 existing ADSs then held for one new ADS. JPMorgan Chase Bank, N.A., as the depositary bank for the Company´s ADS program, will arrange for the exchange. The ADS Ratio Change will have no impact on the Company's underlying Class A ordinary shares, and no ordinary shares will be issued or cancelled in connection with the ADS Ratio Change.</w:t>
      </w:r>
    </w:p>
    <w:p>
      <w:pPr>
        <w:spacing w:after="0" w:line="18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Our principal executive offices are located at 6/F, Building B-6, Block A, Zhongguancun Dongsheng Technology Campus, No. 66 Xixiaokou Road, Haidian District, Beijing 100192, People’s Republic of China. Our telephone number at this address is +86 10 57086561. Our registered office in the Cayman Islands is located at the offices of Osiris International Cayman Limited, Suite #4-210, Governors Square, 23 Lime Tree Bay Avenue, PO Box 32311, Grand Cayman KY1-1209, Cayman Islands. Our agent for service of process in the United States is Cogency Global Inc., located at 122 East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10168.</w:t>
      </w:r>
    </w:p>
    <w:p>
      <w:pPr>
        <w:spacing w:after="0" w:line="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 maintains an internet site that contains reports, proxy and information statements, and other information regarding issuers that file electronically with the SEC on www.sec.gov. You can also find information on our website ir.ymt.com. The information contained on our website is not a part of this annual report.</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BUSINESS 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Over a decade, we have been dedicated to digitalizing China’s agricultural product supply chain infrastructure to streamline the agricultural product transaction process, making it efficient, transparent, secure, and convenient. We believe that technology plays a critical role in agriculture, contributing to increased productivity of the industry. Riding on the wave of agri-tech upgrade and leveraging our profound industry experience and accumulated market insights, we provide a comprehensive set of digital solutions to facilitate agricultural product transactions, ranging from searching, matching, to transaction facilitation and settlement. Additionally, leveraging our industry experience and market insights, we have ventured into the realm of smart farming and agricultural sourcing and trading, further broadening our commercialization channels and animating our other business lines.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pride ourselves as the go-to platform for merchants by leveraging our innovative technology and industry know-how. Technological capabilities run in our genes ever since we commenced our operations. Our proprietary agricultural algorithm, being accurate and efficient to sort out matching problems amongst buyers, sellers and massive SKUs, processes terabytes of information daily. Leveraging such insights, we are able to constantly improve accuracy in transaction matching and facilitate our decision-making in conducting our new business venture including agricultural trading and sourcing and smart farming. We continue to pioneer innovation in the industry through expanding into broader areas of AI-powered applications to enhance merchants’ experience and streamline operations. For example, we utilize natural language processing technologies adapted from open-source models to enhance the efficiency of collecting supply information from sellers, which elevates user experience on our platform. We are also developing an AI-powered customer service system, which leverages the capabilities of third-party large language model. This model is instrumental in promptly acquiring insights into merchant demand through chat interactions, thereby enhancing our efficiency in transaction matching. Our insightful, accurate and up-to-date market quotation database, being the other building block of our success formula, is backed by our dedicated R&amp;D team. About 54% of our R&amp;D personnel were senior engineers with over 5 years of work experience as of December 31, 2025. Our large number of daily active merchants, acting with diverse characteristics and online behaviors, provide daily feedback and response in real time, which allows us to continually enrich the quotation database, extend the depth and breadth of our knowledge graph, amass the collective intelligence, and harness the power of technology.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achieved at-scale commercialization and have a track record of proven success. Our platform had over 39 million merchants as of December 31, 2025. In 2025, our platform facilitated approximately 103 million searches, 620 million calls and instant messages, and over 224 million potential transactions. As of December 31, 2025, the merchants presented approximately 22 million SKUs on our platform. Building upon our experience in transaction matching since our inception, we connected over 640,000 sellers and over 4.6 million buyers in 2025 in the agricultural product supply chain with precise, dynamic and up-to-date information related to agricultural product transactions. We further elevate merchant experiences with a full spectrum of services in advertising and client contact privilege by providing the merchants with a suite of online tools. As of December 31, 2025, our geographic footprint covered over 340 cities and 2,800 counties, representing over 65% of the primary and secondary agricultural wholesale markets in mainland China. We further entered into the agricultural sourcing and trading business in 2024, broadening procurement channels and sales channels for regional buyers and local agricultural producers and processors, respectively, and facilitating sales with reliable, real-time market information and consistent quality and timely deliveries, achieving greater transaction efficiency in the upstream of the agricultural product supply chain and leading to increased repeat purchases. As of the date of this annual report, we have established 61 offline stores in mainland China to trade agricultural products at cultivation and production sites with sellers and buyers.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Our journey in the agricultural B2B industry began with a platform for information and matching services via Yimutian App. The evolution of the agriculture industry propelled by government policies, the permeability of online services and the changing composition and behavior of the participants in the agriculture industry provided us with numerous opportunities. Driven by our mission to make every acre of farmland more valuable and harnessing the rising opportunities in the agriculture industry, we have upgraded our business model and successfully built our agricultural B2B platform.</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facilitating transactions of agricultural products, we have the following main lines of business: (i) digital agricultural commerce services for efficient circulation of agricultural products, which are mainly offered via the Yimutian App, a versatile, merchant-friendly B2B e-commerce platform, complemented with offline, sales-assistance services via Douniu App, a platform matching offline transactions of agricultural products between sellers and wholesale buyers, (ii) agricultural sourcing and trading services that focus on reliable transaction services with sellers at cultivation and production sites and buyers with unmet or underserved demand, (iii) smart farming business, where we selectively cultivate produce based on our industry insights and (iv) other digital agricultural solutions, which primarily entail consulting, brand promotion and digital agricultural training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Agricultural Commerce Services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digital agricultural commerce services are mainly offered via Yimutian App, complemented by sales-assistance services offered via Douniu App. Launched in 2015, Yimutian App is a versatile, merchant-friendly B2B e-commerce platform designated for sellers from agricultural production bases or factories and buyers scattered in the country. With distinct functions, Yimutian App is the front line of our online traffic attraction to facilitate modular product posting, portray merchant profiles and distribute information to complete the transaction matching. To complement the agricultural e-commerce business and address the downstream need of agricultural product transaction on the wholesale level, we offer agricultural product sales-assistance services which connect sellers with wholesale stallholders via Douniu App. It complements Yimutian App with first-hand market information from the offline transactions and refines our omni-channel in reaching the great majority of fragmented merchants groups. We mainly monetize our digital agricultural commerce services through membership services, value-added services and transaction services.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color w:val="auto"/>
        </w:rPr>
        <w:t>In particular, our digital agricultural commerce services mainly benefit sellers of agricultural products and business buyers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1911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4924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Information presentation. </w:t>
      </w:r>
      <w:r>
        <w:rPr>
          <w:rFonts w:ascii="Times New Roman" w:cs="Times New Roman" w:eastAsia="Times New Roman" w:hAnsi="Times New Roman"/>
          <w:sz w:val="18"/>
          <w:szCs w:val="18"/>
          <w:color w:val="auto"/>
        </w:rPr>
        <w:t>Our platform presents to sellers of agricultural products a wide array of market information and broader sales channels.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address information asymmetry in the agricultural product circulation process, we draw on our analytics capabilities and our on-site staff’s effort to collect information on the circulation of agricultural products from their respective cultivation sites to different marketplaces, and on the prices of agricultural products at stalls of different regional wholesale markets. We present sellers a panoramic view via our Apps on the circulation of the types of agricultural products that they intend to sell, so that they are well-informed to make important business decisions on where to sell, among others, which largely determine the return of their hard work in the past several months.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Direct purchase channel. </w:t>
      </w:r>
      <w:r>
        <w:rPr>
          <w:rFonts w:ascii="Times New Roman" w:cs="Times New Roman" w:eastAsia="Times New Roman" w:hAnsi="Times New Roman"/>
          <w:sz w:val="18"/>
          <w:szCs w:val="18"/>
          <w:color w:val="auto"/>
        </w:rPr>
        <w:t>Yimutian App is distinct from a traditional e-commerce platform, through which buyers are rarely provided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to express their preferences before placing an order. In addition to enabling sellers to efficiently sell agricultural products, Yimutian App adopts a direct purchase channel, empowering business buyers to post their demand and specifications for a particular agricultural product so that interested sellers could directly reach out to such buyers and deliver goods that meet their specific needs.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Targeted sales and marketing services. </w:t>
      </w:r>
      <w:r>
        <w:rPr>
          <w:rFonts w:ascii="Times New Roman" w:cs="Times New Roman" w:eastAsia="Times New Roman" w:hAnsi="Times New Roman"/>
          <w:sz w:val="18"/>
          <w:szCs w:val="18"/>
          <w:color w:val="auto"/>
        </w:rPr>
        <w:t>From the seller side, sellers can establish their online presence, and promote and sell products directly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interested buyers online. We offer sellers multiple marketing options, including membership programs and value-added services for brand and product promotion, for which we charge membership fees and value-added services fees, at different price points in order to meet their various marketing needs and budgets. With our large buyer base and data insights into product review and rating, we help sellers who offer agricultural products of exceptional quality build up their online presence and thereby gain online traffic. From the buyer side, we have built advanced algorithms into the Apps that we offer to optimize product selection for business buyers. Leveraging our profound insights into buyers’ preferences, which we accumulated in the past 15 years of operation, we train our algorithms to be capable of making accurate personalized recommendations to business buyers, which serve as an effective targeted marketing tool for us to attract and retain business buyers. We also collaborate with stallholders at wholesale markets allowing them to use our Apps and broaden their communication channels to sellers of agricultural products.</w:t>
      </w:r>
    </w:p>
    <w:p>
      <w:pPr>
        <w:spacing w:after="0" w:line="18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Sales-assistance services. </w:t>
      </w:r>
      <w:r>
        <w:rPr>
          <w:rFonts w:ascii="Times New Roman" w:cs="Times New Roman" w:eastAsia="Times New Roman" w:hAnsi="Times New Roman"/>
          <w:sz w:val="18"/>
          <w:szCs w:val="18"/>
          <w:color w:val="auto"/>
        </w:rPr>
        <w:t>Subject to the need of sellers, we provide sales-assistance services to sellers who wish to save time and efforts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traveling long distance for the sale of agricultural products at wholesale markets by connecting them with wholesale stallholders and charge them transaction-based service fees.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Product standardization guidelines. </w:t>
      </w:r>
      <w:r>
        <w:rPr>
          <w:rFonts w:ascii="Times New Roman" w:cs="Times New Roman" w:eastAsia="Times New Roman" w:hAnsi="Times New Roman"/>
          <w:sz w:val="18"/>
          <w:szCs w:val="18"/>
          <w:color w:val="auto"/>
        </w:rPr>
        <w:t>The acceptance criteria for a particular type of agricultural product varies at wholesale markets of different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regions in terms of size, shape, packaging and others. For example, stallholders in Beijing Xinfadi wholesale market might require paper packaging for agricultural products, while stallholders at wholesale markets in Shanghai typically prefer plastic packaging. Such difference is primarily due to local preferences of business buyers. We collect and present information on grading and standardization of agricultural products to sellers of agricultural products to save their cost for manually collecting market information and reduce the risks of their products being rejected by local markets. Our offline team regularly visits stalls at different wholesale markets, records and reports the specific requirements for agricultural products from business buyers in different regions of mainland China. Capitalizing on our industry insights accumulated from both online and offline operations, we present refined information to sellers of agricultural products either via an interactive user interface of our Apps or by our product specialists in person.</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Transportation information. </w:t>
      </w:r>
      <w:r>
        <w:rPr>
          <w:rFonts w:ascii="Times New Roman" w:cs="Times New Roman" w:eastAsia="Times New Roman" w:hAnsi="Times New Roman"/>
          <w:sz w:val="18"/>
          <w:szCs w:val="18"/>
          <w:color w:val="auto"/>
        </w:rPr>
        <w:t>Sellers of agricultural products can receive dispatch and pickup services through our nationwide truck drivers’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specifically, by connecting a large number of truck drivers who publish information about the transportation services they offer on our platform with sellers in need. Traditionally, it takes time for sellers of agricultural products to establish long-term relationship with reliable truck drivers to transport their products to wholesale markets. The parties on both sides of the transaction are often unsophisticated in setting up the terms of service and end up suffering from losses when the drivers fail to deliver perishable products before market closes regardless of contribution of fault. Sellers can save the cost to find quality truck drivers through the logistics services provided by third parties available on our platform. Sellers can be rest assured that their products are promptly delivered to wholesale markets. Additionally, truck drivers that engage with our platform are benefited from receiving prompt payment, as delivery fees are typically paid around 48 hours upon delivery, as opposed to payment upon completion of sale under the conventional transaction model, which usually takes approximately a week.</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Transaction security. </w:t>
      </w:r>
      <w:r>
        <w:rPr>
          <w:rFonts w:ascii="Times New Roman" w:cs="Times New Roman" w:eastAsia="Times New Roman" w:hAnsi="Times New Roman"/>
          <w:sz w:val="18"/>
          <w:szCs w:val="18"/>
          <w:color w:val="auto"/>
        </w:rPr>
        <w:t>A major challenge in e-commerce transactions is that the quality of products may not meet the buyers’ expectations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The challenge is more prominent for agricultural products because they are typically perishable and product returns make them more likely to become unsaleable, and they are often sold in large quantities via our platform. To address such challenges, our platform is designed to allow business buyers on our platform to make specific requirements about the quality, quantity and other criteria of the products they need to align the buyers’ and sellers’ expectations in advance to enable more successful transactions. To enhance the overall transaction security of buyers who transact online through our platform, buyers’ payments will not be released until they confirm satisfactory receipt of the products purchased, and we also provide prompt after-sales customer service support in the event they receive products with material defects. In addition, we encourage sellers on our platform to make a deposit that may be withdrawn to compensate buyers in cases of buyer dissatisfaction and complaints. Additionally, Douniu App helps sellers of agricultural products secure their revenue within a shorter time frame upon satisfaction of their performance. To ensure transaction security, the payment process requires stallholders to upload their electronic accounting entries or pictures of accounting records after they complete a transaction with their customers. Once a transaction is completed and recorded by stallholders, the sales proceeds will be disbursed to sellers after deducting transaction-based service fees and other relevant fees in the sales process, such as labor cost and logistics service fee. We deploy on-the-ground staff to inspect the transaction processes to maintain the integrity of the payment settlement mechanism.</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from our digital agricultural commerce services is mainly derived from (i) membership services, (ii) value-added services, and</w:t>
      </w:r>
    </w:p>
    <w:p>
      <w:pPr>
        <w:spacing w:after="0" w:line="27" w:lineRule="exact"/>
        <w:rPr>
          <w:sz w:val="20"/>
          <w:szCs w:val="20"/>
          <w:color w:val="auto"/>
        </w:rPr>
      </w:pPr>
    </w:p>
    <w:p>
      <w:pPr>
        <w:ind w:firstLine="8"/>
        <w:spacing w:after="0" w:line="260" w:lineRule="auto"/>
        <w:tabs>
          <w:tab w:leader="none" w:pos="3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services. In 2023, 2024 and 2025, revenue from digital agricultural commerce services was RMB170.9 million and RMB152.6 million and RMB135.3 million (US$19.4 million), respectively, representing 91.1%, 94.6% and 96.2%, respectively, of our total revenue for the corresponding year.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Agricultural Sourcing and Trading Services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recent years, we recognize that online e-commerce platforms face inherent limitations in fully encompassing the entire agricultural product supply chain, as wholesale-level transactions frequently occur offline. The offline agricultural product market is characterized by a dynamic environment, with fluctuating market conditions and a complex transaction process that includes receipt, inspection, sorting, packing, and logistics. Furthermore, the market is often challenged by non-transparent pricing, lack of product standardization, variable supplier fulfillment capabilities, and a general lack of post-sale services. These factors have contributed to a growing market demand for standardized transaction services that offer transparent pricing and reliable and quality pre-sale and post-sale support.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6" w:name="page77"/>
    <w:bookmarkEnd w:id="7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2024, we launched a new business venture—agricultural sourcing and trading—to penetrate deeper in the supply chain under the brand name “Wolaicai,” which phonetically resembles “I purchase for you” in Chinese. Through the agricultural sourcing and trading business, we leverage our market insights accumulated from the Apps, as well as our extensive network of buyers and sellers, and directly make the deal and complete the transaction between local agricultural producers and processors from cultivation and production sites and buyers with regional or bulk procurement capacities in both online and offline environment, achieving greater transaction efficiency in the upstream of the agricultural product supply chain. By establishing stores around select cultivation and production sites, we deploy three to four sales representatives that procure fresh harvests from local farmers and cooperatives and sell those products within a short time to business buyers who express interests in such products with specified standardization requirement. In addition, we also sell agricultural inputs such as fertilizers to sellers for their convenience and as a way to expand our revenue sources.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new business venture provides local agricultural producers and processors with real-time market information on product standardization and pricing, mitigating risks arising from information asymmetry between individual brokers and the producers and processors. To buyers, the agricultural sourcing and trading business shortens the business process for buyers with regional or bulk procurement capacities, reducing their costs in relation to site visits and the risks agricultural product losses due to extended storage.</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Additionally, our robust network of sales representatives that function as local and regional brokers plays a crucial role in this business line. These brokers are responsible for managing procurement at production sites, ensuring that the products meet the required standards and are delivered on time. Their expertise and local knowledge enable us to source high-quality products consistently, further enhancing the reliability of our services.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integration of our agricultural sourcing and trading services with our existing offerings, such as the Yimutian App, allows us to leverage vast amounts of data on buyer behavior and market trends. This data-driven approach enables us to identify emerging market opportunities and tailor our sourcing strategies accordingly. By understanding the specific needs of our buyers, we can optimize our procurement processes and offer competitive pricing, thereby attracting more merchants to our platform. To ensure the quality of our personnel and sustainability of this business line, we have implemented a sales representative evaluation mechanism, retaining only the sales representatives with stellar performance in the longer term. We believe that a stable and high quality workforce would ultimately contribute to a high profit margin for this business line.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diagram below illustrates our agricultural sourcing and trading services and our core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154305</wp:posOffset>
            </wp:positionV>
            <wp:extent cx="5829300" cy="3086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2930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Smart Farming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Riding on years of experience in serving buyers and sellers to facilitate transactions of agricultural products, we have accumulated valuable knowledge, information and industry know-how on agricultural product categories, production regions, market dynamics, upstream and downstream sales cycle, and supply and procurement trends. We have also fostered deep relationships with various upstream and downstream participants in the agricultural product supply chain. Drawing on such knowledge and resources, we commenced smart farming business in 2023 through collaboration with local business partners to selectively cultivate produce in order to capture new business opportunities and monetize on our actionable industry insights and deep connections with key participants along the agriculture supply chain. As the business was in the trial-and-error stage, revenue generated from smart farming was immaterial in 2023. Our involvement in smart farming has provided us with valuable insights into the upstream agricultural product supply chain, which have been instrumental in identifying potential monetization channels that we plan to explore and develop in the future.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smart farming business is closely integrated with our agricultural sourcing and trading services as well as our digital agricultural commerce services, creating significant synergies that enhance the overall efficiency and sustainability of our operations. Leads and orders from our Apps and sales representatives from agricultural sourcing and trading business ensure a steady demand for the products cultivated through our smart farming initiatives. This information helps us identify high-demand SKUs and optimize our production processes to meet market needs efficiently.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we are availed of each of the key steps along the supply chain, from product selection and planting to marketing, distribution, and direct sales through our smart farming business, our digital agricultural commerce services can be further refined and enhanced by collecting first-hand accounts of transaction data and behaviors and analyzing evolving merchant needs. This synergy among our business lines creates a powerful growth engine, ensuring a consistent supply of high-quality products, meeting market demand efficiently, and driving sustainable revenue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Digital Agricultural Solutions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pride ourselves for the insights and industry know-hows that we accumulated through our exemplary twelve years of operation. Such insights not only facilitate our optimization of digital agricultural commerce business, but also enable us to pursue other business opportunities, ranging from consulting and brand promotion to digital agriculture training programs. In 2018, we developed and launched our proprietary digital agricultural solution platform purposefully built to analyze the current market dynamics. This powerful platform presents real-time analyses and dynamic price related information throughout the agricultural product circulation process via a dynamic interface. In particular, market information available thereon includes</w:t>
      </w:r>
    </w:p>
    <w:p>
      <w:pPr>
        <w:spacing w:after="0" w:line="3" w:lineRule="exact"/>
        <w:rPr>
          <w:sz w:val="20"/>
          <w:szCs w:val="20"/>
          <w:color w:val="auto"/>
        </w:rPr>
      </w:pPr>
    </w:p>
    <w:p>
      <w:pPr>
        <w:jc w:val="both"/>
        <w:ind w:firstLine="8"/>
        <w:spacing w:after="0" w:line="250" w:lineRule="auto"/>
        <w:tabs>
          <w:tab w:leader="none" w:pos="2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trend of supply and demand at different local wholesale markets, (ii) the geographic location of purchase channels, (iii) the types and characteristics of the purchase channels, (iv) the supply and distribution information of production regions, (v) the competitive landscape of production regions, and</w:t>
      </w:r>
    </w:p>
    <w:p>
      <w:pPr>
        <w:jc w:val="both"/>
        <w:ind w:firstLine="8"/>
        <w:spacing w:after="0" w:line="255" w:lineRule="auto"/>
        <w:tabs>
          <w:tab w:leader="none" w:pos="31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competitive landscape of production regions. With our broad geographic coverage and sustainable seller and buyer network, the digital agricultural solution platform continues to accumulate broad and in-depth information on location of transaction, time of transaction, associated merchants and products, and prices and specifications of agricultural products, among others.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Consulting. </w:t>
      </w:r>
      <w:r>
        <w:rPr>
          <w:rFonts w:ascii="Times New Roman" w:cs="Times New Roman" w:eastAsia="Times New Roman" w:hAnsi="Times New Roman"/>
          <w:sz w:val="18"/>
          <w:szCs w:val="18"/>
          <w:color w:val="auto"/>
        </w:rPr>
        <w:t>The broad and in-depth analyses from the platform have helped us streamline and enhance the operations of our digital agricultural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commerce business. As such, we are empowered to match buyers more accurately with sellers of agricultural products meeting buyers’ specifications and enable sellers to increase the market recognition of their brands and harness better opportunities in selling their products to downstream buyers on better price terms. Our technology capabilities and industry know-how have also addressed the policy objectives in revitalizing rural regions of mainland China and developing the agriculture industry through digitalization and have been recognized by local governments in mainland China. With the mission to propel the digitalization of the agriculture industry, we have provided Ministry of Commerce of the PRC with pricing trend and supply and demand information on agricultural products drawing on our distinguished capability in comprehensively analyzing market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8" w:name="page79"/>
    <w:bookmarkEnd w:id="78"/>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Brand promotion. </w:t>
      </w:r>
      <w:r>
        <w:rPr>
          <w:rFonts w:ascii="Times New Roman" w:cs="Times New Roman" w:eastAsia="Times New Roman" w:hAnsi="Times New Roman"/>
          <w:sz w:val="18"/>
          <w:szCs w:val="18"/>
          <w:color w:val="auto"/>
        </w:rPr>
        <w:t>With our profound insights into buyers’ preferences and the application of our proprietary knowledge graphs in respect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circulation of agricultural products, we help local governments in mainland China to build and promote their local agricultural product brands through offline conferences, online advertising and promotion. As such government-sponsored brands attain an increasing level of market recognition, local governments have more pricing power over their locally grown products, thereby generating higher profits and more returns for local farmers and other sellers of agricultural products.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Digital agriculture training programs. </w:t>
      </w:r>
      <w:r>
        <w:rPr>
          <w:rFonts w:ascii="Times New Roman" w:cs="Times New Roman" w:eastAsia="Times New Roman" w:hAnsi="Times New Roman"/>
          <w:sz w:val="18"/>
          <w:szCs w:val="18"/>
          <w:color w:val="auto"/>
        </w:rPr>
        <w:t>With the aim to support local governments in developing the agriculture industry, we pilot a series of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agriculture training programs under Project Lighthouse, which are training programs offered to farmers with scaled business, agricultural production bases, agricultural production cooperatives and brokers of agricultural products to educate them on how to efficiently broaden their sales channels by selling their products through online platform such as ours. The main objectives of Project Lighthouse are to promote rural economic development and foster the digitalization of the agriculture industry from the upstream of the agricultural product supply chain by educating millennial farmers in different agricultural production bases how to better utilize the internet for business purpose. Since we launched Project Lighthouse in 2020, we have hosted over 100 training programs across mainland China, and the footprints of Project Lighthouse have covered various rural regions of Guangdong, Hunan, Sichuan and Inner Mongolia, among others. Building upon the accolades that we earned from the recipients of the training programs, we not only spread practical know-how on the usage of digital platforms to help sellers of the agricultural products in achieving financial gains, but also effectively broaden our merchant acquisition channels and improve merchant acquisition efficiency.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from other digital agricultural solutions is mainly derived from technology services to local governments. In 2023, 2024 and 2025, revenue from other digital agricultural solutions was RMB17.6 million, RMB8.7 million and RMB5.3 million (US$0.8 million), respectively, representing 9.4%, 5.4% and 3.8%, respectively, of our total revenue for the corresponding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Value We Bring to Merchants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agricultural B2B platform serves various participants in the agricultural product supply chain comprising both sellers and buyers of agricultural products. The seller side primarily includes farmers, agricultural production bases, agricultural production cooperatives, food processing manufacturers and brokers, while the buyer side mainly includes business buyers such as wholesale buyers, restaurants and grocery stores. We act as a bridge that connects sellers and buyers in the agricultural product supply chain by providing them with a full spectrum of services, from presentation of productions and marketing information, product standardization, marketing, researching and matching of agricultural supply and demand, to coordinating transportation of products and settling sales proceeds, in order to resolve information asymmetry, facilitate agricultural product transactions and maximize transaction efficiency.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our purpose-built technology solutions and extensive industry insights, we are poised to enhance efficiency in the circulation of agricultural products. We strive to achieve a virtuous cycle through offering quality services to industry participants throughout the agricultural product supply chain and further honing our expertise in the agricultural B2B industry leveraging our data insights, thereby providing more personalized and satisfactory services to merchants and solidifying our market leading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to sellers of agricultural products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deliver benefits to sellers of agricultural products, including farmers, agricultural production bases, agricultural production cooperatives, food processing manufacturers and brokers of agricultural products, in the following ways:</w:t>
      </w:r>
    </w:p>
    <w:p>
      <w:pPr>
        <w:spacing w:after="0" w:line="160" w:lineRule="exact"/>
        <w:rPr>
          <w:sz w:val="20"/>
          <w:szCs w:val="20"/>
          <w:color w:val="auto"/>
        </w:rPr>
      </w:pPr>
    </w:p>
    <w:p>
      <w:pPr>
        <w:ind w:left="980" w:right="20" w:hanging="324"/>
        <w:spacing w:after="0" w:line="284"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Nationwide agricultural product circulation network</w:t>
      </w:r>
      <w:r>
        <w:rPr>
          <w:rFonts w:ascii="Times New Roman" w:cs="Times New Roman" w:eastAsia="Times New Roman" w:hAnsi="Times New Roman"/>
          <w:sz w:val="18"/>
          <w:szCs w:val="18"/>
          <w:color w:val="auto"/>
        </w:rPr>
        <w:t>. Our platform provides sellers of agricultural products with a broad and diverse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agricultural product circulation network on a nationwide basis and connects them with numerous buyers in various locations.</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Transparent and real-time information</w:t>
      </w:r>
      <w:r>
        <w:rPr>
          <w:rFonts w:ascii="Times New Roman" w:cs="Times New Roman" w:eastAsia="Times New Roman" w:hAnsi="Times New Roman"/>
          <w:sz w:val="18"/>
          <w:szCs w:val="18"/>
          <w:color w:val="auto"/>
        </w:rPr>
        <w:t>. Real-time information on supply, demand and pricing makes agricultural product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transparent and helps farmers maximize their economic interests. The insightful knowledge graph empowers sellers to timely identify the most suitable markets with the highest demand and best prices of agricultural products, especially with respect to crops that are harvested only during a particular season of the year. Therefore, sellers can complete transactions promptly and at competitive prices, reducing the risk of losses in situations where the agricultural products begin to perish due to prolonged selling window and potentially increasing sellers’ financial returns.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9" w:name="page80"/>
    <w:bookmarkEnd w:id="79"/>
    <w:p>
      <w:pPr>
        <w:jc w:val="both"/>
        <w:ind w:left="980" w:hanging="324"/>
        <w:spacing w:after="0" w:line="267"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Valuable sales and marketing services</w:t>
      </w:r>
      <w:r>
        <w:rPr>
          <w:rFonts w:ascii="Times New Roman" w:cs="Times New Roman" w:eastAsia="Times New Roman" w:hAnsi="Times New Roman"/>
          <w:sz w:val="18"/>
          <w:szCs w:val="18"/>
          <w:color w:val="auto"/>
        </w:rPr>
        <w:t>. We offer sales and marketing services via a suite of online tools, among others, which enable sellers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effectively promote their products targeting buyers with such demand via online chats, among other channels, saving a substantial amount of time and resources during the agricultural product transaction process.</w:t>
      </w:r>
    </w:p>
    <w:p>
      <w:pPr>
        <w:spacing w:after="0" w:line="173"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Secure and reliable transaction process</w:t>
      </w:r>
      <w:r>
        <w:rPr>
          <w:rFonts w:ascii="Times New Roman" w:cs="Times New Roman" w:eastAsia="Times New Roman" w:hAnsi="Times New Roman"/>
          <w:sz w:val="18"/>
          <w:szCs w:val="18"/>
          <w:color w:val="auto"/>
        </w:rPr>
        <w:t>. Our platform offers a secure and reliable payment settlement process to ensure sellers are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promptly after the sale of their products.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to buyers of agricultural products and stallholders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collaborate with and support stallholders at wholesale markets to address the needs of business buyers. We deliver benefits to business buyers and stallholders in the following ways:</w:t>
      </w:r>
    </w:p>
    <w:p>
      <w:pPr>
        <w:spacing w:after="0" w:line="160" w:lineRule="exact"/>
        <w:rPr>
          <w:sz w:val="20"/>
          <w:szCs w:val="20"/>
          <w:color w:val="auto"/>
        </w:rPr>
      </w:pPr>
    </w:p>
    <w:p>
      <w:pPr>
        <w:jc w:val="both"/>
        <w:ind w:left="980" w:hanging="324"/>
        <w:spacing w:after="0" w:line="261"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Optimal and stable buying options</w:t>
      </w:r>
      <w:r>
        <w:rPr>
          <w:rFonts w:ascii="Times New Roman" w:cs="Times New Roman" w:eastAsia="Times New Roman" w:hAnsi="Times New Roman"/>
          <w:sz w:val="18"/>
          <w:szCs w:val="18"/>
          <w:color w:val="auto"/>
        </w:rPr>
        <w:t>. Capitalizing on our industry insights, our platform presents stallholders and business buyers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quotation and other market information on numerous agricultural products, allowing them to compare prices and purchase the exact products that they need. Moreover, business buyers, including restaurants and grocery stores, can timely secure alternative supply channels should they suffer from temporary or permanent supply shortage.</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standardization guidelines</w:t>
      </w:r>
      <w:r>
        <w:rPr>
          <w:rFonts w:ascii="Times New Roman" w:cs="Times New Roman" w:eastAsia="Times New Roman" w:hAnsi="Times New Roman"/>
          <w:sz w:val="18"/>
          <w:szCs w:val="18"/>
          <w:color w:val="auto"/>
        </w:rPr>
        <w:t>. With our profound insights into local wholesale markets, we have established guidelines for classification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agricultural products, which we adopt to guide sellers during the cultivation stage, so that the agricultural products they sell will meet the standards prescribed by local wholesale markets. As such, stallholders and business buyers can easily procure agricultural products that meet their specifications.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Disintermediation and transparency</w:t>
      </w:r>
      <w:r>
        <w:rPr>
          <w:rFonts w:ascii="Times New Roman" w:cs="Times New Roman" w:eastAsia="Times New Roman" w:hAnsi="Times New Roman"/>
          <w:sz w:val="18"/>
          <w:szCs w:val="18"/>
          <w:color w:val="auto"/>
        </w:rPr>
        <w:t>. Our platform effectively reduces vertical layers of intermediaries throughout the industry chain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connecting sellers and buyers of agricultural products via the platform, and in turn reduces the costs in relation to the circulation of agricultural products, such as commission fees traditionally paid to intermediaries and communication costs spent to physically visit different wholesale markets to identify the best prices.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security</w:t>
      </w:r>
      <w:r>
        <w:rPr>
          <w:rFonts w:ascii="Times New Roman" w:cs="Times New Roman" w:eastAsia="Times New Roman" w:hAnsi="Times New Roman"/>
          <w:sz w:val="18"/>
          <w:szCs w:val="18"/>
          <w:color w:val="auto"/>
        </w:rPr>
        <w:t>. Our platform not only provides convenience to buyers as they are not required to physically examine the agricultural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on sale, but also ensures security of payments after-sale by releasing the payment only upon buyers’ confirmation of receipt and satisfaction of the products they ordered.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Strategies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employ different pricing strategies leveraging our industry insights and depending on the features of services offered.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outset, we mainly consider our operating expenses, market condition and characteristics of the agricultural B2B industry when making pricing decisions. On Douniu App, for example, we charge sellers of agricultural products relatively higher fees than those charged to stallholders at wholesale markets, because sellers of agricultural products typically heavily rely on our services only during harvest seasons, while stallholders are in need of our services all year round. Additionally, depending on how our merchant base receives our services, we routinely adjust pricing for profit maximization.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Generally, we offer sellers memberships of digital agricultural commerce services and sales and marketing value-added services at various fixed price tiers leveraging our in-depth analyses of merchants’ and buyers’ profiles and predictions of their potential transactions volumes. In our agricultural sourcing and trading business, we determine the price of products we procure and the price of products we sell after considering factors including market price, demand, quality of products, and a reasonable profit margin, among other factors. For value-added services offered through online tools that are developed and tailored to meet different demands from merchants, we typically price them based on the features offered. For smart farming business, we monetize mainly through the sales of the agricultural products, the price of which are typically subject to market conditions.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research and development is the engine propelling every stage of our business development. As of December 31, 2025, we had 50 employees focusing on research and development. The R&amp;D team is led by technology veterans with abundant work experience in the agricultural and technology industries and is tasked to enhance technology infrastructure, conduct quality testing, develop value-added services, conduct front-end research and development such as designing smartphone applications, websites and mini programs, manage customer relationships and develop marketplace technologies. About 54% of our R&amp;D staff had more than 5 years of work experience as of December 31, 2025. Our R&amp;D priority is to enhance user experience, user stickiness and transaction volume by developing advanced algorithms in knowledge graphs and AI technology.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market our platform both online and offline. We employ a variety of marketing activities to promote our brands and services. Our online marketing activities mainly consist of displaying paid marketing and promotional materials on social media platforms and search engines. Our offline marketing activities include promotions via traditional media, such as outdoor advertisements, public relations activities, as well as sponsored events to increase our visibility and promote our brand. Project Lighthouse, under which we partner with local governments to offer training programs to farmers, agricultural production bases, agricultural production cooperatives and brokers, has helped local governments develop their local economy and earned accolades from mainstream media. For more information on our collaboration with local governments through Project Lighthouse, please see “—Corporate Social Responsibilities—Project Lighthouse.” We also locally deploy offline marketing personnel mainly in Zhengzhou and Wuhan, who are responsible for the marketing activities specific to each type of services offered by us, aiming at converting local sellers and buyers of agricultural products into our platform users through free educational programs.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our one-stop platform, with a wide variety of services and products offered thereon and positive merchant experience, makes us a reputable brand and is our best and most effective marketing tools. In 2023, 2024 and 2025, we acquired over 42% of new merchants on our platform through word-of-mouth marketing, thanks to our reputable and trusted brand. Despite the acquisition cost of such merchants is close to nil, such merchants contribute great value to our business. They often interact with our platform over a long-term and spend more time on our platform than merchants acquired via other means.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Infrastructure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Technology infrastructure underpins our quality and merchant-friendly services and features. We have purposefully designed our superior technology infrastructure to be versatile for upgrades and ongoing maintenance. As of December 31, 2025, we had constructed over 339 modules which are standardized and versatile for configurations and combinations in various business scenarios. Capitalizing on our proprietary cross-platform front-end engine, we are capable of developing programs that are highly compatible across various online platforms. The engine is equipped to process and analyze programming codes and quickly launch our mini programs tailored for different major online platforms, while ensuring that such programs can offer merchants a smooth experience. Our efficient development process is manifested by a relatively short application update cycle, which is typically between one to two weeks. We have further streamlined our operations by adopting multi-cloud servers to stabilize connectivity and automate the local deployment process.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Deep Learning</w:t>
      </w:r>
    </w:p>
    <w:p>
      <w:pPr>
        <w:spacing w:after="0" w:line="22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We leverage deep learning to deliver an optimized experience for merchants using our platform. In 2019, we formed a specialized algorithms team, which has achieved significant progress in intelligent customized recommendation, among other key breakthroughs that improve our operational efficiency. We have developed knowledge graphs that help us better analyze the relationships among agricultural product categories, agricultural production bases, wholesale markets, buyers and sellers of agricultural products. The knowledge graphs have helped us more precisely match buyers and sellers of agricultural products, select the optimal transportation routes for agricultural products, become better informed on popular products and consumption trend every day, and provide more reliable and practical recommendations to sellers of agricultural products and guide them to attain financial gains.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Drawing on our deep understanding of sellers and buyers on our platform, our intelligent customized recommendation is now equipped to quickly and accurately identify the products that merchants intend to sell or purchase. In addition, we use our proprietary deep learning model and other industry-leading algorithmic models to interpret texts, graphics and videos of agricultural products and therefore enhance the efficiency and precision of customized recommendations when a merchant conducts a search. We developed two engines in traffic attraction and merchant engagement in a multi-media context, namely, (i) content recommendation engines and (ii) voice call robots. Content recommendation engines distribute pictures and texts based on merchant profiles, which are portrayed via our full-rounded software development kit tools with transaction preference and historical records. We further expand into voice call robots with automatic speech recognition, neural text to speech and natural language understanding technologies. These allows our sales robots instantly grab merchants’ needs and respond with the best solutions. The functionality of our sales robots has been validated by their approximately 5.8 million outbound calls in 2025. Additionally, we are in the process of enhancing our capabilities in AI to integrate it with our offering stacks, such as multimedia content generation in product promotion, etc.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Analytics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data analytics capabilities underpinning our digital agricultural commerce services have enabled easy access to transparent market information for both sellers and buyers and facilitated transaction matching between them with efficiency, riding on our real-time analyses and accurate prediction on the pricing trend and supply and demand of various produce and agricultural by-products. Leveraging our profound industry insights, we also develop and deploy our proprietary digital agricultural solution platform to provide accurate price predictions, generate detailed reports on pricing and circulation of agricultural products from farmland to different marketplaces. Drawing on our analysis of activities conducted through our platform, coupled with external data collected from public sources, the digital agricultural solution platform is equipped to present:</w:t>
      </w:r>
    </w:p>
    <w:p>
      <w:pPr>
        <w:spacing w:after="0" w:line="187"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agricultural production bases for major agricultural products and their supply capabilities, including the type of the respective product;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flow of major agricultural products between key agricultural production bases and key wholesale markets, and demand for a particular product among different wholesale markets;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trend of supply and demand for major agricultural products with comparison to the same period of last year;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broad range of price-related information in connection with major agricultural products supplied by different agricultural production bases and sold to different wholesale markets, with comparison to the highest and lowest prices in the current and previous years;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profiles of top sellers;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concentration of buyers.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For more information on the services we provide through the deployment of our digital agricultural solution, please see “Our Business Model— Other Digital Agricultural Solutions.”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Intellectual property rights are fundamental to our business, and we devote significant time and resources to their development and protection. We rely on a combination of patent, trademark, copyright and domain name protection in mainland China, as well as confidentiality procedures and contractual provisions to protect our intellectual property. In general, our employees must enter into a standard employment contract which includes a clause acknowledging that all inventions, trade secrets, developments and other processes generated by them on our behalf are our properties, and assigning to us any ownership rights that they may claim in those works. Despite our precautions, however, third parties may obtain and use intellectual property that we own or license without our consent. As of the date of this annual report, we had not found any material breaches of our intellectual property rights. However, unauthorized use of our intellectual property by third parties and the expenses incurred in protecting our intellectual property rights from such unauthorized use may adversely affect our business and results of operations. See “Item 3. Key Information—D. Risk Factors—Risks Related to Our Business and Industry—We may not be able to prevent others from unauthorized use of our intellectual property, which could harm our business and competitive position.”</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our significant subsidiaries owned 250 registered trademarks in various categories and registered with the China Trademark Office and had 17 patents registered with the State Intellectual Property Office of China in mainland China. In addition, our significant subsidiaries had 86 software copyrights and 8 other copyrights registered with the State Copyright Bureau of China, and owned 33 domain names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Security and Privacy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protecting personal information and privacy of all users of our online platform, including sellers and buyers of agricultural products, stallholders at wholesale markets, truck drivers and other third parties. We collect personal information and other data from our users and use such data during our operations only with their prior consent. We have established and implemented policies across our platform on data collection, processing and usage to safeguard the data we collect, and we regularly review these polices and their implementation.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follow strict procedures in collecting, transmitting, storing and using user data pursuant to our data security and privacy policies. Before we collect any user data, we must notify users that we are collecting their data, explain why the data is being collected and how it will be used, and obtain the users’ consent to collect the relevant data. We provide our users a copy of our privacy policy to inform them of the scope and purpose of the data we collect. Once collected, user data is transmitted and stored using encrypted and desensitized methods. We grant classified access to confidential personal data only to employees with relevant authorizations with strictly defined and layered access to our data and systems.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maintain a comprehensive data security program to protect the confidentiality and integrity of our data across all aspects of data collection and processing. We utilize a variety of technologies to protect our servers from fire, physical shock, theft and other forms of physical harm. On the back end, our servers, databases and information technology networks utilize firewalls, anti-DDoS, intrusion prevention systems, real-time server monitoring and other network cybersecurity technologies. We also utilize a wide range of protective technologies at the application level, including security access code systems, web application firewalls and simulated hacking tests. We back up user and historical data on a regular basis using “hot” backup systems to minimize the risk of data loss or leakage. We also conduct frequent reviews of our backup and data recovery systems, including through regular disaster recovery testing, to ensure that our systems are operating properly.</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course of our operations, we have from time to time been subject to regulatory scrutiny regarding our compliance of data privacy and protection rules. We are committed to cooperating with the regulatory authorities to identify and rectify any issues. For more information about the data privacy and security risks that we face, see “Item 3. Key Information—D. Risk Factors—Risks Related to Our Business and Industry—We may be subject to complex and evolving laws and regulations regarding cybersecurity, data privacy and data protection. Actual or alleged failure to comply with cybersecurity, data privacy and data protection laws and regulations could damage our reputation, deter current and potential users from using our services and subject us to significant legal, financial and operational consequences.”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Corporate Social Responsibilities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a critical component of our success has been our corporate culture, which focuses on development in the long run and not be blinded by immediate interests. Our achievements and initiatives in the area of corporate social responsibility include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 Lighthouse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the aim to support local governments in developing the agricultural sector, we have been offering training programs under Project Lighthouse to farmers with scaled business, agricultural production bases, agricultural production cooperatives and brokers to educate them on how to efficiently broaden their sales channels by selling their products through online platform such as ours. The main objectives of Project Lighthouse are to promote rural economic development and foster the digitalization of the agriculture industry from the upstream of the agricultural product supply chain by educating millennial farmers in different agricultural production bases how to better utilize the internet for business purpose. Since we launch Project Lighthouse in 2020, we have hosted over 100 training programs across mainland China, and the footprints of Project Lighthouse have covered various rural regions of Guangdong, Hunan, Sichuan and Inner Mongolia, among others. Building upon the accolades that we earned from the recipients of the training programs, we not only spread practical know-how on the usage of digital platforms to help sellers of the agricultural products in achieving financial gains, but also effectively broaden our merchant acquisition channels and improve merchant acquisition efficiency.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Poverty Alleviation Through E-Commerce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2017, we have integrated a special poverty alleviation channel located on the front page of the interactive display of Yimutian App. The special channel is designed to showcase the agricultural products and their respective suppliers who are from impoverished counties of mainland China. Drawing on our broad merchant base and high daily merchant traffic, the poverty alleviation channel is able to capture tens of thousands of visits every day. In addition, we have collaborated with local governments of impoverished counties and co-host Poverty Alleviation Day to expand the market exposure and transaction opportunities of agricultural products originated from impoverished counties since 2017.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Historically, user activities on our platform were relatively less frequent during the Chinese New Year holiday in the first quarter of each year and the summer months mainly due to the impact of natural disasters such as flood in cultivation sites and key logistics nexuses for the circulation of agricultural products. In addition, there is typically a decline of fruit procurement in July and around the Chinese New Year, while the procurement amounts during spring and fall are generally higher than other periods of a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there is no single competitor that can provide the broad range of services like us, we face competition in each of our business lines, and there may be new entrants emerging, in each of our business lines, and these market players compete to attract, engage and retain sellers and buyers. Some of these competitors are backed by internet giants in mainland China. Key competitive factors among internet platforms for agricultural B2B e-commerce services are scale and breadth of services provided, pricing, technology and data, and execution capabilities. Key competitive factors among internet platforms for agricultural wholesale services are scale and breadth of services provided, pricing, technology and data, and execution capabilities.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of our business lines is subject to rapid market change and the potential development of new business models and the entry of new and well-funded competitors. Other companies may also enter into business combinations or alliances that strengthen their competitive positions. Some of our current competitors have, and future competitors may have, greater financial, technical or marketing resources, longer operating histories, greater brand recognition or larger consumer bases than we do. Such development may further intensify the competition of the agricultural B2B industry in mainland China.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maintain social welfare insurance for our employees in accordance with the laws and regulations of mainland China in all material aspects. We believe that our insurance coverage is in line with the industry practice and is adequate to cover our liabilities for our employees.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operate in an increasingly complex legal and regulatory environment. We are subject to a variety of PRC laws, rules and regulations across numerous aspects of our business. This section sets forth a summary of the principal PRC laws, judicial interpretations, rules and regulations relevant to our business and operations in mainland China.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Investment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March 15, 2019, the National People’s Congress of the PRC, or the NPC, promulgated the Foreign Investment Law of the PRC, or the Foreign Investment Law or the FIL, taking effect on January 1, 2020, and replaced the Wholly Foreign-owned Enterprises Law, the Sino-foreign Equity Joint Ventures Law, and the Sino-foreign Cooperative Joint Ventures Enterprise Law. The Foreign Investment Law defines foreign investment as any investment activity directly or indirectly carried out in the PRC by one or more foreign natural persons, enterprises or other organizations, or the foreign investor(s), and specifically stipulates four forms of investment activities as foreign investments, namely, (i) establishment of a foreign-invested enterprise in the PRC by a foreign investor, either individually or collectively with any other investor; (ii) obtaining shares, equities, property shares or any other similar rights or interests of an enterprise in the PRC by a foreign investor; (iii) investment in any new project in the PRC by a foreign investor, either individually or collectively with any other investor; and (iv) investment in any other means stipulated under laws, administrative regulations or provisions prescribed by the State Council. However, the Foreign Investment Law does not explicitly refer to the contractual arrangements under the “variable interest equity” structure as a form of foreign investment. The Foreign Investment Law stipulates that foreign investment includes “foreign investors invest in the PRC through any other means under laws, administrative regulations, or provisions prescribed by the State Council.” It is possible that future laws, administrative regulations or provisions of the State Council may specify contractual arrangements as a form of foreign investment, and hence it is uncertain as to whether our contractual arrangements will be recognized as foreign investment. The Foreign Investment Law further provides that the organizational form, organizational structure and their activities of foreign-invested enterprises shall be governed by the provisions of the PRC Company Law, the PRC Partnership Enterprise Law and other relevant laws.</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Foreign Investment Law stipulates that China implements a management system of pre-establishment national treatment plus a negative list to foreign investment and the government generally will not expropriate foreign investment, except under special circumstances, in which case it will provide fair and reasonable compensation to foreign investors. Foreign investors are barred from investing in prohibited industries on the negative list and must comply with the specified requirements when investing in restricted industries on that list. When a license is required to enter a certain industry, a foreign investor must apply for one, and the government must treat the application the same as one by a domestic enterprise, except where laws or regulations provide otherwise. In addition, foreign investors or foreign-invested enterprises are required to file information reports and foreign investment in certain sensitive industrial sectors shall be subject to the national security review. In addition, the Implementation Rules of the Foreign Investment Law of the PRC, taking effect on January 1, 2020, clarifies that the Foreign Investment Law and its implementation rules also apply to investments by foreign-invested enterprises in China.</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26, 2019, the Supreme People’s Court of China promulgated the Interpretations on Certain Issues Regarding the Application of Foreign Investment Law, taking effect on January 1, 2020, pursuant to which “investment contracts” are defined as the agreements formed as a result of direct or indirect investments in China by foreign investors, namely, foreign individuals, foreign enterprises or other foreign organizations, including contracts for establishment of foreign investment enterprises, share transfer contracts, equity transfer contracts, contracts for transfer of property or other similar interests, contracts for newly-built projects and etc. Any claim to invalidate an investment contract will be supported by courts if such investment contract is decided to be entered into for purposes of making foreign investments in the “prohibited industries” under the negative list or for purposes of investing in the “restricted industries” without satisfaction of conditions set out in the negative list. However, the foregoing judicial interpretation does not explicitly construe the contractual arrangements under the “variable interest equity” structure as “investment contracts” for the purpose of the Foreign Investment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Value-added Telecommunication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Licenses for Value-added Telecommunications Services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Telecommunications Regulations of the PRC, or the Telecommunications Regulations, provides a regulatory framework for telecommunications services providers in the PRC, which was promulgated by the State Council on September 25, 2000 and last amended on February 6, 2016, taking effect as of the date of its promulgation. The Telecommunications Regulations classify telecommunications services into two categories, namely basic telecommunications services and value-add telecommunications services. According to the Catalog of Telecommunications Businesses attached to the Telecommunications Regulations on September 25, 2000 and last amended by the Ministry of Industry and Information Technology, or the MIIT, on June 6, 2019, information services provided via public communication network or Internet, and online data processing and transaction processing fall within value-added telecommunications services. The Telecommunications Regulations require value-added telecommunications services providers to obtain an operating license from the MIIT or its provincial-level counterparts prior to the commencement of their operations.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Administrative Measures on Internet Information Services, or the Internet Information Measures, was promulgated by the State Council on September 25, 2000 and last amended on December 6, 2024, taking effect on January 20, 2025. According to the Internet Information Measures, internet information services refer to services that provide internet information to online users, and are categorized as either commercial or non-commercial internet information services. Commercial internet information services operators, which provide information through Internet to online users with charge of payment, shall obtain a license for value-added telecommunications services, or the VATS License, covering the business scope of internet information service from the government agency, namely Internet Content Provider License, or the ICP License, prior to engaging in any commercial internet information services business within China. In addition, if the internet information services involve provision of news, publication, education, medicine, health, pharmaceuticals, medical equipment and other services that statutorily require approvals from other additional government authorities, such approvals must be obtained before applying the ICP License. Furthermore, the Internet Information Measures and other measures also forbid Internet activities that constitute the dissemination of any content that propagates obscenity, pornography, gambling and violence, incites the commission of crimes or infringes upon the lawful rights and interests of third parties. If an internet information service provider detects information transmitted on their system that falls within the specifically forbidden scope, such provider must terminate such transmission, delete such information immediately, keep records and report to the responsible government authorities. Breach of any of these operational requirements by an information service provider will result in the revocation of its ICP license and, in serious cases, the shutting down of its website. For clearance, according to the Administrative Provisions on Mobile Internet Application Information Services, which was promulgated by the CAC on June 28, 2016, recently amended on June 14, 2022, taking effect on August 1, 2022, the provision of information services via mobile apps is subject to the laws and regulations of mainland China governing internet information services.</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Administrative Measures for Telecommunications Business Operating Permit, or the Telecom Permit Measures, was promulgated by the MIIT on March 5, 2009 and amended on July 3, 2017. The Telecom Permit Measures categorize telecom operating licenses into two types for operators in the PRC, namely, licenses for basic telecommunications services and the VATS License. The operation scope of the license shall specify in detail the permitted activities that the licensed enterprise can engage in, and the approved telecommunication services operator shall conduct its business within the operation scope listed in its VATS License. In addition, a telecom service operator that has obtained a permit for telecom service operation shall participate in annual inspection which is conducted by the MIIT or its provincial level counterparts. The holder of a VATS License is required to obtain approval from the original permit-issuing authority for any change of its shareholders. Moreover, the new version of the Telecom Permit Measures issued by the MIIT on July 3, 2017 removed the previous requirement of requiring any enterprise holding the license for operation of trans-regional value-added telecommunications business to go through the record-filing formalities.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comply with the laws and regulations, Yimutian Xinnong has obtained a value-added telecommunications business license for its electronic data interchange business, or EDI License, which will remain effective until January 4, 2031, and a value-added telecommunications business license for internet information services, or ICP License, which will remain effective until November 19, 2029. Beijing Douniu has obtained an ICP License which will remain effective until April 25, 2029.</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Restrictions on Foreign Investment in Value-added Telecommunications Services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the latest Special Administrative Measures for the Entry of Investment (Negative List), or the Negative List, promulgated by the Ministry of Commerce, or the MOFCOM, and the National Development and Reform Commission, or the NDRC, taking effect on November 1, 2024, the provision of value-added telecommunications services falls in the restricted industries and the percentage of foreign ownership cannot exceed 50% (except for e-commerce, domestic multi-party communication, store-and-forward and call center).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Regulations for the Administration of Foreign-Invested Telecommunications Enterprises (2022 revision), or the FITE Regulations, was promulgated by the State Council on December 11, 2001 and was last amended on March 29, 2022. According to the newly amended FITE Regulations, although it remains unchanged that foreign investors shall not acquire more than 50% of the equity interest of such foreign-invested telecommunications enterprise (except as otherwise provided by the State), the prerequisite of stringent performance and operational experience for foreign investor(s) of such foreign-invested telecommunications enterprise engaging in value-added telecommunication services is removed and no longer required. The foreign-invested telecommunications enterprises that meet these requirements must obtain approvals from the MIIT or its authorized local branches, before launching the value-added telecommunications business in the PRC.</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19, 2015, the MIIT issued the Circular on Loosening the Restrictions on Shareholding by Foreign Investors in Online Data Processing and Transaction Processing Business (Operational E-commerce), or the Circular No. 196. Circular No. 196 allows a foreign investor to hold 100% of the equity interest in a PRC entity that provides online data processing and transaction processing services, or the operational e-commerce. In respect of the application for a permit for any foreign-invested enterprise engaging in operational e-commerce, the requirements for the proportion of foreign equity are governed by the Circular No.196 while other requirements and approval procedures are subject to the FITE Regulations.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8, 2024, the MIIT issued the Announcement of the Ministry of Industry and Information Technology on Launching the Pilot Program of Expanding the Opening-up in Value-added Telecommunications Services, pursuant to which, in certain approved pilot areas, the restrictions on foreign shareholding percentages for the following value-added telecommunications services shall be lifted: internet data centers, content distribution networks, internet access services, online data processing and transaction processing, information services, including information releasing platforms and information delivery services (excluding Internet news information, online publishing, online audio-visual services, and Internet-based cultural businesses), and information protection and processing services. The approved pilot areas currently include the Comprehensive Demonstration Zone for Expanding Opening-up in the Services Sector in Beijing, the Lingang Special Area of China (Shanghai) Free Trade Zone for Leading Socialist Modernization, the Hainan Free Trade Port, and the Pilot Demonstration Area of Socialism with Chinese Characteristics in Shenzhen.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comply with the above foreign investment restrictions, we rely on contractual arrangements with the VIEs to operate our business in China. However, there remain substantial uncertainties with respect to the interpretation and application of existing or future PRC laws and regulations on foreign investment. See “Item 3. Key Information—D. Risks Factors—Risks Related to Our Corporate Structure”. If our current ownership structure is found to be in violation of current or future PRC laws, rules or regulations regarding the legality of foreign investment in value-added telecommunications services and other types of businesses in which foreign investment is restricted or prohibited, we could be subject to severe penalties.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Food Business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PRC subsidiaries and VIEs engaging in food wholesale and retail business are subject to laws and regulations relating to the food safety and food operation.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Food Safety in General</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28, 2009, the Standing Committee of the National People’s Congress of the PRC, or the SCNPC promulgated the Food Safety Law of the PRC, or the Food Safety Law, which took effect on June 1, 2009 and was respectively amended on April 24, 2015, December 29, 2018, April 29, 2021 and September 12, 2025, taking effect on December 1, 2025. On July 20, 2009, the State Council promulgated the Implementation Regulations of the Food Safety Law of the PRC, or the Implementation Regulations, which took effect on July 20, 2009 and was respectively amended on February 6, 2016 and October 11, 2019, taking effect on December 1, 2019. The Food Safety Law and the Implementation Regulations have set up a system of the supervision, monitoring and appraisal on food safety risks, compulsory adoption of food safety standards in the PRC.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color w:val="auto"/>
        </w:rPr>
        <w:t>Online Food Safety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Article 62 of the Food Safety Law, the provider of a third-party online food trading platform shall register the legal names of food traders admitted to the platform and define their food safety management responsibilities; and check the permits of those that are required to obtain food operation permits. Where the provider of a third-party online food trading platform discovers that any food trader admitted to the platform violates the Food Safety Law, it shall stop the violation in a timely manner and immediately file a report with the food safety supervision and administration department of the local people’s government at the county level; and if it discovers any serious illegal act, it shall immediately stop providing online trading platform services.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Measures on the Punishments and Disciplinary Actions for Online Food Safety, or the Online Food Safety Measures, was promulgated by the SFDA on July 13, 2016 and last amended on March 18, 2025, taking effect on May 1, 2025, which aims to investigate and punish illegal acts related to online food safety, and to strengthen the supervision and administration of online food safety. SAMR and the local counterparts of SAMR at or above the county level are the responsible authorities for the supervision and guidance of the investigation and punishment on illegal conducts concerning online food safety. According to the Online Food Safety Measures, the provider of a third-party online food trading platform or a food producer or trader engaging in trade through the websites it built shall, within thirty (30) working days after obtaining approval of the competent department of communications, undergo the recordation formalities with the competent market regulatory authority of the place where it is located, and obtain the recordation number. Where the provider of a third-party online food trading platform or a food producer or trader engaging in trade through the websites it built, fails to fulfill the corresponding obligation of recordation, the local market regulatory authority at or above the county level shall order it to take corrective action and impose on it a fine of not more than RMB10,000.</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comply with the laws and regulations, Yimutian Xinnong has completed the filing as required for a provider of third-party online food trading platform. Beijing Douniu has completed the filing as required for a provider of third-party online food trading platform.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Agricultural Product Quality and Consumer Protection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subject to the Agricultural Product Quality Law and the Consumer Protection Law as an online platform operator of agricultural product and other commodities.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Agricultural Product Quality Law</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Agricultural Product Quality and Safety Law of the PRC, or the Agricultural Product Quality Law, which was promulgated by the SCNPC on September 2, 2022, taking effect on January 1, 2023, the agricultural products sold shall meet the quality and safety standards of agricultural products, and antistaling agents, preservatives, additives and packaging materials used in the process of packaging, preservation, storage and transportation of agricultural products shall be in conformity with the mandatory standards set by the State and other provisions on the quality and safety of agricultural products. Producers and distributors of agricultural products that sell agricultural products through online platforms shall strictly perform their quality and safety responsibilities in accordance with the Agricultural Product Quality Law and other laws and regulations, to ensure that the agricultural products they sell conform to quality and safety standards. Online platform operators shall strengthen the management of agricultural product producers and distributors in accordance with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color w:val="auto"/>
        </w:rPr>
        <w:t>Consumer Protection Law</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Law of the People’s Republic of China on the Protection of Consumer Rights and Interests, or the Consumer Protection Law, was promulgated by the SCNPC on October 31, 1993 and subsequently amended on August 27, 2009, October 25, 2013, taking effect as of March 15, 2014. The Consumer Protection Law sets out the obligations of business operators and the rights and interests of the consumers in China. Under the Consumer Protection Law, business operators must guarantee that the commodities they sell satisfy the requirements for personal or property safety, provide consumers with authentic information about the commodities, and guarantee the quality, function, usage and period of validity of the commodities. Failure to comply with the Consumer Protection Law may subject the business operators to civil liabilities such as refunding purchase prices, replacement of commodities, repairing, ceasing damages, compensation, and restoring reputation, and even subject the business operators or the responsible individuals to criminal penalties when personal damages are involved or if the circumstances are severe. The Consumer Protection Law further strengthens the protection of consumers and imposes more stringent requirements and obligations on business operators, especially on the business operators through the internet. The consumers, whose interests are infringed while purchasing goods or receiving services via an online trading platform, have the right to claim damages from vendors of the goods or service providers. Where the operator of the online trading platform cannot provide the real name, address and effective contact of the vendor or the service provider, the consumer shall have the right to claim damages directly from the operator of the online trading platform. If the operator of an online trading platform clearly knows or should have known that a vendor or a service provider uses its platform to commit acts that have infringed the legitimate rights of consumers, such as sell defective products to the consumers, but fails to take necessary measures, such operator shall take joint and severable liabilities with the vendor or the service provider.</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Regulations on the Implementation of Law of the People’s Republic of China on the Protection of Consumer Rights and Interests, or the Implementation Regulations of Consumer Protection Law, was promulgated by the SCNPC on March 15, 2024, taking effect as of July 1, 2024. The Implementation Regulations of Consumer Protection Law has refined the obligations of e-commerce operators, including ensuring the personal and property safety of consumers, prohibiting false advertising, clear pricing, the use of standard terms, fulfilling quality warranty responsibilities, and protecting consumer personal information. In addition, the regulations related to online sales have also been perfected and detailed, such as explicitly stipulating that operators are not allowed to use technical means to force or indirectly force consumers to purchase goods or accept services, and are not allowed to set different prices or charging standards for the same goods or services without the consumer’s knowledge.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Advertisement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Advertising Law of the People’s Republic of China, or the Advertising Law, which was promulgated by the SCNPC on October 27, 1994 and was last amended on April 29, 2021, taking effect effective on the same day, requires advertisers, advertising operators and advertising distributors to ensure that the content of the advertisements they produce or distribute are true and in full compliance with applicable laws and regulations. In addition, where a special government censorship is required for certain industrial categories (e.g., medical treatment, pharmaceuticals, medical devices, agricultural pesticides, veterinary medicines and healthcare food) of advertisements before publishing, the advertisers, advertising operators and advertising distributors are obligated to confirm that such censorship has been duly exercised and that the governmental clearance has been obtained. No entity or individual may distribute advertisements to the residence, vehicle and etc. of a person or distribute advertisements to such person by electronic means without his/her consent or request.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25, the State Administration for Market Regulation, or SAMR, promulgated the Measures on Internet Advertisement, or the Internet Advertisement Measures, taking effect on May 1, 2023. The Internet Advertisement Measures regulate any advertisement published on the Internet, including but not limited to, through websites, webpage and apps, in the form of word, picture, audio and video and provide more detailed guidelines to the advertisers, advertising operators and advertising distributors. In addition, the Internet Advertisement Measures explicitly require that the Advertising Law and the provisions of the Internet Advertisement Measures apply to the internet information service providers. Aiming to provide more user protection and responsibilities on advertisers, advertising operators, advertising distributors and internet platforms in China, the Internet Advertisement Measures cover various forms of online advertisements, including pop-up advertisements, open-screen advertisements, livestreaming advertisement, “soft text advertisements”, internet advertisements containing links, auction ranked advertisements, algorithm-recommended advertisements, internet live broadcast advertisements, and covert advertisements. Internet platform operators are required to take measures to prevent and stop illegal advertisements, including recording and storing the real identity information of users who publish advertisements for at least three (3) years, monitoring and investigating the content of advertisements, and employing measures to stop illegal advertisements. Such platform operators must also establish effective complaint and reporting mechanisms, cooperate with market regulatory authorities in investigating illegal conduct, and use measures such as warnings, suspending or terminating services for users who publish illegal advertisements.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9" w:name="page90"/>
    <w:bookmarkEnd w:id="8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22, 2024, the SAMR issued the Internet Advertising Recognizability Law Enforcement Guide, formulated based on the Advertising Law and the Internet Advertisement Measures and other relevant laws and regulations, and aiming at regulating the recognizability of internet advertising and providing reference for market supervision authorities across various regions. The guide is designed to help consumers distinguish between internet advertising and non-advertising information, thereby protecting their legal rights and interests. This guide is formulated based on the Advertising Law and the Internet Advertisement Measures and other relevant laws and regulations, providing a reference for the work of market supervision departments.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Online Trading and E-commerce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Measures for the Supervision and Administration of Online Trading</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Measures for the Supervision and Administration of Online Transactions, or the Online Transaction Measures, was promulgated by SAMR on March 15, 2021, taking effect from May 1, 2021, and was amended on March 18, 2025, taking effect on May 1, 2025. The Online Transaction Measures, aiming to strengthen consumer rights protection and personal information protection, impose new obligations on the e-commerce platform operators, such as verifying and registering the identity of trading parties on the platform either that are required to registered with SAMR or that are exempted from such registration, regularly reporting of prescribed information of trading parties on the platform to the relevant branch of SAMR and establishing a system of inspection and monitoring of information on the goods sold or services provided on the platform.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E-commerce Law</w:t>
      </w:r>
    </w:p>
    <w:p>
      <w:pPr>
        <w:spacing w:after="0" w:line="2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August 31, 2018, the SCNPC promulgated the E-commerce Law of the PRC, or the E-commerce Law, which came into effect on January 1, 2019. The E-commerce Law imposes a series of requirements on e-commerce operators including e-commerce platform operators, merchants operating on the platform and the individuals and entities carrying out business online. According to the E-commerce Law, e-commerce operators who provide search results based on consumers’ characteristics such as hobbies and consumption habits shall also provide consumers with options that are not targeted at their personal characteristics at the same time, respect and fairly protect the legitimate interests of the consumers. The E-commerce Law requires the e-commerce platform operators to: (i) require business operators that apply to sell commodities or provide services on its platform to submit truthful information, including the identity, address, contact and administrative license, verify and register such information, establish registration archives, and have them verified and updated regularly; (ii) submit information on the identification of operators on its platform to the market regulatory authorities, warn operators that have not registered themselves as market subjects about handling such registration; (iii) pursuant to laws and administrative regulations concerning the administration of tax collection, submit to the tax authorities information on the identification of operators on its platform and other information relating to tax payment; (iv) record and save information released on its platform about commodities and services and deals concluded, and keep them for no less than three (3) years from the date on which deals are completed; (v) always make public information about the platform’s service agreement and transaction rules or the link to such information, in a prominent position on the platform’s homepage, and ensure that business operators and consumers are able to read and download such agreement and rules in full conveniently; (vi) distinguish its own business with noticeable labels from that of other operators on its platform if an e-commerce platform has its own business on its platform, and shall not mislead consumers; (vii) create and improve its credit rating system, formulate public credit rating rules, and provide avenues to consumers to make comments on commodities sold or services provided on its platform, and shall not delete any comment made by consumers on any commodity sold or service provided on its platform; and</w:t>
      </w:r>
    </w:p>
    <w:p>
      <w:pPr>
        <w:spacing w:after="0" w:line="10" w:lineRule="exact"/>
        <w:rPr>
          <w:sz w:val="20"/>
          <w:szCs w:val="20"/>
          <w:color w:val="auto"/>
        </w:rPr>
      </w:pPr>
    </w:p>
    <w:p>
      <w:pPr>
        <w:ind w:firstLine="8"/>
        <w:spacing w:after="0" w:line="260" w:lineRule="auto"/>
        <w:tabs>
          <w:tab w:leader="none" w:pos="41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rules on the protection of intellectual property rights and strengthen its cooperation with intellectual property right owners, so as to protect intellectual property rights in accordance with law.</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 to the E-commerce Law, e-commerce platform operators are required to assume joint liabilities with the merchants and may be subject to warnings and fines up to RMB2,000,000 where (i) they fail to take necessary actions when they know or should have known that the products or services provided by the merchants on the platform do not meet personal and property security requirements, or otherwise infringe upon consumers’ legitimate rights; or (ii) they fail to take necessary actions, such as deleting and blocking information, disconnecting, terminating transactions and services, when they know or should have known that the merchants on the platform infringe upon the intellectual property rights of others. With respect to products or services affecting consumers’ health and safety, e-commerce platform operators will be held liable if they neglect to examine the qualifications of merchants or fail to safeguard the interests of consumers, and may be subject to warnings and fines up to RMB2,000,000.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i w:val="1"/>
          <w:iCs w:val="1"/>
          <w:color w:val="auto"/>
        </w:rPr>
        <w:t>The Measures for the Supervision and Administration of Online Trading Platform Rules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the Measures for the Supervision and Administration of Online Trading Platform Rules (promulgated by SAMR and CAC, effective February 1, 2026) impose systematic compliance requirements on the formulation, revision and implementation of platform rules. These new rules prohibit platforms from using platform rules to force merchants to accept “refund-only” policies, to subscribe to non-essential value-added services such as shipping insurance, to participate in promotional activities against their will, or to operate exclusively on a single platform.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Anti-Unfair Competition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23, 2019, the SCNPC promulgated the Anti-Unfair Competition Law of the PRC, or the Anti-Unfair Law, which came into effect on the same day and was amended on June 27, 2025, taking effect on October 15, 2025. On May 6, 2024, the SAMR promulgated the Interim Provisions on Anti-Unfair Competition in the Internet Sector, or the Internet Anti-Unfair Competition Provisions, which came into effect on September 1, 2024, aiming to prevent and stop the acts of unfair competition in the internet sector. The Internet Anti-Unfair Competition Provisions, (i) comprehensively list acts of unfair competition online, clarify the criteria for identification, including new manifestations of traditional unfair competition in the online environment such as imitation and confusion, false advertising, and new types of unfair competition facilitated by technological means (such as reverse brushing, illegal data acquisition, discriminatory treatment, etc.), and establish catch-all provisions to provide a regulatory basis for potential new issues and behaviors;</w:t>
      </w:r>
    </w:p>
    <w:p>
      <w:pPr>
        <w:spacing w:after="0" w:line="3" w:lineRule="exact"/>
        <w:rPr>
          <w:sz w:val="20"/>
          <w:szCs w:val="20"/>
          <w:color w:val="auto"/>
        </w:rPr>
      </w:pPr>
    </w:p>
    <w:p>
      <w:pPr>
        <w:jc w:val="both"/>
        <w:ind w:firstLine="8"/>
        <w:spacing w:after="0" w:line="251" w:lineRule="auto"/>
        <w:tabs>
          <w:tab w:leader="none" w:pos="26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responsibilities of platform operators, who are required to strengthen the regulation of competitive behaviors within the platform, and if the platform operators discover that operators within the platform engage in unfair competitive practices, sell goods or provide services illegally, or infringe upon the legitimate rights and interests of consumers, they must take timely measures, preserve relevant records, and report to the market supervision authorities at the county level or above where the platform operator is located; otherwise, the platform will face certain administrative penalties; (iii) raise the compliance requirements for platforms, for example, platform operators are not allowed to use service agreements, transaction rules, or other means by the operators within the platform to impose unreasonable restrictions or attach unreasonable conditions on the transactions, transaction prices, and dealings with other operators within the platform, and platform operators should fairly and reasonably determine the service charges in the service agreements and transaction rules.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Mobile Internet Applications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June 28, 2016, the CAC promulgated the Administrative Provisions on Mobile Internet Application Information Services, or the Mobile Application Administrative Provisions, which took effect on August 1, 2016 and was amended on June 14, 2022, taking effect on August 1, 2022. The Mobile Application Administrative Provisions raise certain requirements on the Mobile Internet Application (APP) information service providers. The CAC and its local counterparts are delegated the power to supervise and administer nationwide and local APP information respectively. The APP information service providers shall satisfy relevant qualifications required by laws and regulations, establish a sound information content review and management mechanism and fulfill their obligations in various aspects relating to real-name system, protection of users’ information, examination and management of information content, including but not limited to: (i) conducting real identity information authentication based on mobile phone numbers, identity document numbers or unified social credit codes for users who apply for registration when they provide users with services such as information release and instant messaging; (ii) processing personal information under the principle of legality, legitimacy, necessity and good faith, disclosing processing rules, regulating personal information processing activities and taking necessary measures to ensure personal information security;</w:t>
      </w:r>
    </w:p>
    <w:p>
      <w:pPr>
        <w:spacing w:after="0" w:line="5" w:lineRule="exact"/>
        <w:rPr>
          <w:sz w:val="20"/>
          <w:szCs w:val="20"/>
          <w:color w:val="auto"/>
        </w:rPr>
      </w:pPr>
    </w:p>
    <w:p>
      <w:pPr>
        <w:jc w:val="both"/>
        <w:ind w:firstLine="8"/>
        <w:spacing w:after="0" w:line="252" w:lineRule="auto"/>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sound information content review and management mechanism, establishing and improving management measures for user registration, account management, information review, routine inspections and emergency response; (iv) refraining from inducing users to download APPs by means of false advertisement, bundled downloads, machine or manual click farming and comment control, or using illegal and harmful information; (v) complying with the mandatory requirements of relevant national standards, promptly taking remedial measures and notifying users and reporting to the competent authorities when discovering that an APP has risks such as security defects and vulnerabilities; and (vi) formulating and disclosing management rules, and signing service agreements with registered users to clarify the rights and obligations of both parties.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1" w:name="page92"/>
    <w:bookmarkEnd w:id="9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16, 2016, the MIIT promulgated the Interim Measures on the Administration of Pre-Installation and Distribution of Applications for Mobile Smart Terminals, or the Mobile Application Interim Measures, which took effect on July 1, 2017. The Mobile Application Interim Measures requires, among others, that the internet information service providers shall display the information of the mobile smart terminal application software provided and ensure that other than the basic functional software, the mobile smart terminal application software, as well as its ancillary resource files, configuration files and user data can be uninstalled by users on a convenient basis.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21, 2023, the MIIT promulgated the Circular of the Ministry of Industry and Information Technology on Launching the Record-filing of Mobile Internet Applications, or the Mobile Application Filing Circular, which took effect on the same day. The Mobile Application Filing Circular requires that the mobile application sponsors who engage in the internet-based information services within the territory of the PRC shall carry out record-filing procedures in accordance with the Anti-Telecom and Online Fraud Law of the PRC, the Internet Information Measures and other provisions, and shall not engage in the mobile application internet-based information services if they fail to comply with the record-filing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Cybersecurity, Information Security Protection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28, 2000, the SCNPC enacted the Decisions on the Maintenance of Internet Security, which was last amended on January 8, 2011, taking effect on the same day, may subject violators to criminal punishment in the PRC where the following behaviors constitute crimes: (i) behaviors impacting internet security such as gaining improper access to a computer or system of strategic importance; (ii) behaviors that may cause harm to national security and social instability such as disseminating politically disruptive information and leaking state secrets; (iii) behaviors disrupting the nation’s order of socialist market economy or order of social administration such as spreading false commercial information and infringing others’ intellectual property rights and (iv) behaviors impairing the personal, property and other legitimate rights of individuals, legal persons and other organizations such as using the internet to insult others or fabricate facts to defame others or using the internet to commit theft, fraud or extortion. Where the behaviors do not constitute crimes, the violators shall be subject to administrative sanctions imposed by the competent public security authority and other relevant government authorities and shall bear civil liabilities toward those whose legitimate rights and interest are infringed upon. The Ministry of Public Security, or MPS, has promulgated measures that prohibit use of the internet in ways which, among other things, result in a leakage of state secrets or a spread of socially destabilizing content. If an information service provider violates these measures, the MPS and the local security bureaus may revoke its operating licenses and shut down its websites.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22, 2007, the MPS, the National Administration of State Secrets Protection, the State Cryptography Administration and the Information Office of the State Council jointly issued the Administrative Regulations for the Classified Protection of Information Security, which became effective on the same day. Entities operating and using information systems shall determine the security protection grade of the information system and carry out the graded protection work in accordance with relevant guidelines. Entities operating and using information systems of grade two or above shall file their security protection grade with the MPS or its bureaus at or above the municipal level with subordinate districts within the specified date.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7, 2016, the SCNPC promulgated the Cyber Security Law of the PRC, or the Cyber Security Law, which took effect on June 1, 2017 and was amended on October 28, 2025, taking effect on January 1, 2026, pursuant to which, network operators shall comply with laws and regulations and fulfill their obligations to safeguard security of the network when conducting business and providing services. Those who provide services through networks shall take technical measures and other necessary measures pursuant to laws, regulations and compulsory national requirements to safeguard the safe and stable operation of the networks, respond to network security incidents effectively, prevent illegal and criminal activities, and maintain the integrity, confidentiality and usability of network data, and the network operators shall not collect the personal information irrelevant to the services they provide or collect or use the personal information in violation of the provisions of laws or agreements between both parties, and network operators of key information infrastructure shall store within the territory of the PRC all the personal information and important data collected and produced within the territory of the PRC. In the event of any unauthorized disclosure, damage or loss of collected personal information, network operators must take immediate remedial measures, notify the affected users and report the incidents to the authorities in a timely manner.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15, 2018, the MPS promulgated the Provisions on Internet Security Supervision and Inspection by Public Security Agencies, taking effect on November 1, 2018, pursuant to which, the public security authorities are authorized to carry out internet security supervision and inspection of the internet service providers in the following aspects, including: (i) whether the service providers have completed the recordation formalities for online entities, and filed the basic information (including the changes thereof) of the accessing entities and users; (ii) whether they have established and implemented the cybersecurity management system and protocols, and appointed the persons responsible for cybersecurity; (iii) whether the technical measures for recording and retaining users’ registration information and weblog data are in place in accordance with law; (iv) whether they have taken technical measures to prevent computer viruses, network attacks and network intrusion; (v) whether they have adopted preventive measures to tackle the information that is prohibited to be issued or transmitted by laws and administrative regulations in the public information services; (vi) whether they provide technical support and assistance as required by law to public security authorities to safeguard national security and prevent and investigate on terrorist activities and criminal activities; and (vii) whether they have fulfilled the obligations of the grade-based cybersecurity protection and other obligations prescribed by laws and administrative regulations. In particular, the public security authorities shall also carry out supervision and inspection on whether an internet service provider has taken required measures to manage information published by users, adopted proper measures to handle the published or transmitted information that is prohibited to be published or transmitted, and kept the records.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15, 2019, the CAC promulgated the Provisions on Ecological Governance of Network Information Content, or the CAC Order No.5, taking effect on March 1, 2020, to provide guidance for the management of network information content. According to CAC Order No.5, each network information content service platform is required, among others (a) not to disseminate the information prohibited by laws and regulations; (b) to strengthen the examination and inspection of the advertising space set on the platform and the advertising content displayed on the platform; (c) to promulgate management rules and platform conventions, improve user agreements, clarify the rights and obligations of users, and perform management duties required by law and contracts; (d) establish convenient channels for filing complaints and reports; and (e) to prepare annual work report regarding its ecological governance of network information content.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10, 2021, the SCNPC promulgated the PRC Data Security Law, which took effect on September 1, 2021. The PRC Data Security Law provides that the state shall establish a data security review system, under which data processing activities that affect or may affect national security shall be reviewed for national security purposes. A decision on security review made in accordance with law shall be final and binding upon the concerned parties.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Regulations on Network Data Security Management was promulgated by the State Council on September 24, 2024, taking effect on January 1, 2025, pursuant to which the network data processors that handle personal information of more than 10 million people must comply with the provisions for processors of important data, who are required to fulfill cybersecurity protection responsibilities, including the development and implementation of network data security management systems, operational procedures, and emergency response plans for network data security incidents; regularly organizing activities such as network data security risk monitoring, risk assessment, emergency drills, and publicity and training education to promptly address network data security risks and incidents. In the event of mergers, divisions, dissolutions, bankruptcies, or other circumstances that may affect the security of important data, processors of important data must take measures to ensure the security of network data and report to the authorities of provincial level or above on the data disposal plan, the name and contact information of the recipient.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28, 2021, the CAC, together with certain other mainland China government authorities, promulgated the Cybersecurity Review Measures, which replaced the previous version and took effect from February 15, 2022. Pursuant to the Cybersecurity Review Measures, network platform operators who possess personal information of over 1,000,000 individual users shall be subject to cybersecurity review before listing abroad. The competent government authorities may also initiate a cybersecurity review against the operators if the authorities believe that the network product or service or data processing activities of such operators affect or may affect national security. If the Cybersecurity Review Office deems it necessary to conduct a cybersecurity review, it shall complete a preliminary review within thirty (30) business days (or forty-five (45) business days for complicated cases) from the issuance of a written notice to the operator. Upon the completion of a preliminary review, the Cybersecurity Review Office shall reach a review conclusion suggestion and send the review conclusion suggestion to the members for the cybersecurity review system and relevant authorities for their comments. These authorities shall issue a written reply within fifteen (15) business days from the receipt of the review conclusion suggestion. If the Cybersecurity Review Office and these authorities reach a consensus, then the Cybersecurity Review Office shall inform the operator in writing, otherwise, the case will go through a special review procedure. The special review procedure shall be completed within ninety (90) business days, or longer for complicated cases. The Cybersecurity Review Measures provides that the violators shall be subject to legal consequences in accordance with the Cyber Security Law and the PRC Data Security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31, 2021, the CAC, MIIT, MPS and SAMR promulgated the Administrative Provisions on Algorithms Recommendation in Internet-based Information Services, or the Algorithms Recommendation Administrative Provisions, which took effect on March 1, 2022. Pursuant to the Algorithms Recommendation Administrative Provisions, internet-based information service providers who apply algorithm-based recommendation technologies in such service within the territory of the PRC shall comply with the requirements regarding information services and user rights and interests protection. Algorithm-based recommendation service providers with public opinion attributes or social mobilization capabilities shall fill in certain information through the internet-based information service algorithm record-filing system, perform the record-filing procedures and conduct security assessment in accordance with relevant provisions.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7, 2022, the CAC promulgated the Security Assessment Measures for Outbound Data Transfers, which came into effect on September 1, 2022. The Security Assessment Measures for Outbound Data Transfers provides four circumstances, under any of which data processors shall, through the local cyberspace administration at the provincial level, apply to the national cyberspace administration for security assessment of cross-border data transfer. These circumstances include: (i) where a data processor transfers important data to overseas recipients; (ii) where a critical information infrastructure operator, or a data processor processing the personal information of more than 1,000,000 individuals, who, in either case, transfers personal information to overseas recipients; (iii) where a data processor who has transferred the personal information of more than 100,000 individuals, or the sensitive personal information of more than 10,000 individuals to overseas recipients, since January 1 of the preceding year cumulatively; or (iv) other circumstances under which security assessment of data cross-border transfer is required as prescribed by the national cyberspace administration. Since there might be newly issued explanations or implementation rules, we will continually monitor our compliance status in accordance with the latest changes in applicable regulatory requirements.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22, 2024, the CAC promulgated the Regulations on Promoting and Regulating Cross-Border Data Flow, which specifies the standards for the declaration of critical data export security assessments and stipulated circumstances exempted from declaring data export security assessments. For instance, data collected in international trade and cross-border transportation activities that does not contain personal information or critical data are exempted. Additionally, free trade pilot zones are allowed to establish negative lists, and data exports not included the negative list are exempted from the declaration of data export security assessments.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network platform operator who possesses personal information of more than one million users for purposes of the Cybersecurity Review Measures, we have applied for and completed a cybersecurity review with respect to our initial public offering pursuant to the Cybersecurity Review Measures.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Privacy and Data Protection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29, 2011, the MIIT issued the Provisions on Regulating the Market Order of Internet Information Services, taking effect on March 15, 2012, pursuant to which, internet information service provider may not collect any user personal information or provide such information to third parties without the consent of such user, unless it is otherwise provided by laws or administrative regulations. An internet information service provider shall expressly inform the users of the method, content and purpose for the collection and processing of such users’ personal information and may only collect such information necessary for the provision of its services. On December 28, 2012, the SCNPC promulgated the Decision on Strengthening Network Information Protection, which provides that electronic information that can identity citizens’ personal privacy and involves citizens’ personal privacy is protected, and no person or organization shall steal, illegally obtain, sell or illegally provide to others any personal information of citizens.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16, 2013, the MIIT issued the Provisions on Protection of Personal Information of Telecommunication and Internet Users, taking effect on September 1, 2013, pursuant to which “personal information” is defined as information that identifies a citizen, the time or location for his/her use of telecommunication and internet services or involves privacy of any citizen such as his/her birth date, ID card number, and address. Any collection and use of user personal information must be subject to the consent of the user, abide by the principles of legality, rationality and necessity and be within the specified purposes, methods and scopes. An internet information service provider must also keep information collected strictly confidential, and is further prohibited from divulging, tampering or destroying of any such information, or selling or providing such information to other parties. Any violation of the above decision or order may subject the internet information service provider to order to rectify, warnings, fines or even criminal liabilities.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Ninth Amendment to the Criminal Law of the PRC issued by the SCNPC on August 29, 2015, taking effect on November 1, 2015, any internet service provider that fails to fulfill the obligations related to internet information security as required by applicable laws and refuses to rectify upon orders, will be subject to criminal liability for causing (a) any dissemination of illegal information in large scale; (b) any leakage of the users’ information that leads to serious consequences; (c) any serious loss of evidence for criminal activities; or (d) any other severe situations. In addition, any individual or entity that (a) sells or provides personal information to others unlawfully, or (b) steals or illegally obtains any personal information, will be subject to criminal liability in severe situations. Pursuant to the Notice of the Supreme People’s Court, the Supreme People’s Procuratorate and the MPS on Legally Punishing Criminal Activities Infringing upon the Personal Information of Citizens, issued on April 23, 2013 and taking effect on the same day, and the Interpretations of the Supreme People’s Court and Supreme People’s Procuratorate on Several Issues Concerning the Application of Law in Handling of Criminal Cases Involving Infringement of Citizen’s Personal Information, issued on May 8, 2017 and taking effect as of June 1, 2017, the following activities may constitute the crime of infringing upon a citizen’s personal information: (i) providing a citizen’s personal information to specified persons or releasing a citizen’s personal information online or through other methods in violation of relevant national provisions; (ii) providing legitimately collected information relating to a citizen to others without such citizen’s consent (unless the information is processed, not traceable to a specific person and not recoverable); (iii) collecting a citizen’s personal information in violation of applicable rules and regulations when performing a duty or providing services; or (iv) collecting a citizen’s personal information by purchasing, accepting or exchanging such information in violation of applicable rules and regulations.</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23, 2019, the Office of the Central Cyberspace Affairs Commission, the MIIT, the MPS, and SAMR jointly issued the Announcement of Launching Special Rectifications against Illegal Collection and Use of Personal Information by Apps to implement special rectifications against mobile apps that collect and use personal information in violation of applicable laws and regulations, including among others, collecting personal information irrelevant to their services, or forcing users to give authorization in a disguised manner. On November 28, 2019, the CAC, the MIIT, the MPS and SAMR promulgated the Identification Method of Illegal Collection and Use of Personal Information Through App, which provides guidance for the regulatory authorities to identify the illegal collection and use of personal information through mobile apps, and for the app operators to conduct self-examination and self-correction and for other participants to voluntarily monitor compliance thereof.</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28, 2020, the NPC approved the Civil Code of the PRC, or the Civil Code, which has come into effect on 1 January 2021. Pursuant to the Civil Code, the personal information of a natural person shall be protected by law. Any organization or individual that need to obtain personal information of others shall obtain such information legally and ensure the security of such information, and shall not illegally collect, use, process or transmit personal information of others, or illegally purchase, sell, provide or make public personal information of others.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20, 2021, the SCNPC promulgated the Law of Personal Information Protection of PRC, or the Personal Information Protection Law, which integrates the scattered rules with respect to personal information rights and privacy protection and became effective on November 1, 2021. Pursuant to the Personal Information Protection Law, personal information, refers to information related to identified or identifiable natural persons and is recorded by electronic or other means but excluding the anonymized information. Personal information processing includes, but is not limited to, the collection, storage, use, processing, transmission, provision, disclosure, and deletion of personal information. Personal information shall be processed under the principles of lawfulness, legitimacy, necessity and good faith, and shall not be processed in a way that is misleading, fraudulent or coercive. Personal information handlers shall bear responsibility for their personal information handling activities, and adopt the necessary measures to safeguard the security of the personal information they handle. Otherwise, the personal information handlers will be ordered to correct or suspend or terminate the provision of services, confiscation of illegal income, fines or other penalties.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the National Internet Information Office issued the Measures for the Administration of Personal Information Protection Compliance Audits, which took effect on May 1, 2025. Under these measures, personal information processors processing the personal information of more than 10 million individuals are required to conduct personal information protection compliance audits at least once every two years. Other personal information processors are required to conduct such audits periodically based on their specific circumstances. In the area of cross-border data transfers, the Measures for Certification of Personal Information Export, jointly issued by the CAC and the State Administration for Market Regulation on October 17, 2025, took effect on January 1, 2026. This measure establishes the certification pathway for personal information export, completing the full framework of China’s cross-border data transfer regulatory system, which now includes security assessment, standard contract, and certification as the three primary compliance pathways.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Outbound Investment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regulate outbound investments, the MOFCOM promulgated the Administrative Measures on Outbound Investments (2009 Edition) on March 16, 2009, taking effect as of May 1, 2009, which was repealed by the Administrative Measures on Outbound Investments (2014 Edition), or the MOFCOM Outbound Investments Measures, promulgated by MOFCOM on September 6, 2014, taking effect as of October 6, 2014, under which the MOFCOM’s approval delegation was modified by the Decision of the State Council to Cancel a Group of Administrative Licensing Items and Other Items (2018) on July 28, 2018. According to the MOFCOM Outbound Investments Measures, outbound investments of enterprises involving sensitive countries and regions or sensitive industries shall be subject to examination and approval by the MOFCOM or its local counterparts at provincial level and other outbound investments of enterprises shall be subject to filing with the same authorities. The MOFCOM and its provincial local counterparts shall conduct filing and approval administration through the “outbound investment administration system”, and issue the Certificate of Outbound Investment by Enterprises for enterprises which have obtained such filing or approval.</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26, 2017, the NDRC, promulgated the Administrative Measures on the Outbound Investments of Enterprises, or the NDRC Outbound Investment Measures, which became effective from March 1, 2018. Pursuant to the NDRC Enterprise Outbound Investment Measures, outbound investment refers to the investment activities conducted by an enterprise located within the territory of the PRC either directly or via an overseas enterprise under its control. Such control of an overseas enterprise can be obtained through investing assets and equities, providing financing or a guarantee, or any other means, to obtain overseas ownership, control rights, business management rights and other related rights and interests. To make outbound investment, investors shall go through the formalities to have a proposed overseas investment project approved or filed for record, report relevant information, and cooperate in supervision and inspection. Projects subject to approval administration are sensitive projects in one of the sensitive industries listed in the Outbound Investment Sensitive Industry Catalogue (2018 Edition), which was promulgated by the NDRC on January 31, 2018 and came into effect on March 1, 2018, to be carried out by investors either directly or through overseas enterprises under their control and the approval authority is the NDRC. Projects subject to record-filing administration are non-sensitive projects to be carried out directly by investors and the record-filing authorities are the NDRC and its provincial local counterparts. In addition, where natural persons within the territory of China make investments abroad through overseas enterprises under their control or through enterprises located in Hong Kong, Macao or Taiwan region, the Enterprise Outbound Investment Measures shall apply mutatis mutandis.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Tax</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Income Tax</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16, 2007, the SCNPC promulgated the PRC Enterprise Income Tax Law, which was amended on February 24, 2017 and December 29, 2018 respectively. On December 6, 2007, the State Council promulgated the Regulations for the Implementation of the Law of the PRC on Enterprise Income Tax, which came into effect on January 1, 2008 and was last amended on December 6, 2024, or collectively, the EIT Law. Pursuant to the EIT Law, taxpayers consist of resident enterprises and non-resident enterprises. Resident enterprises are defined as enterprises that are established in the PRC in accordance with laws of mainland China, or that are established in accordance with the laws of foreign countries but whose actual or de facto control is administered from within the PRC territory. Non-resident enterprises are defined as enterprises that are set up in accordance with the laws of foreign countries and whose actual administration is conducted outside the PRC territory, but have established institutions or premises in the PRC, or have no such established institutions or premises but have income generated from inside the PRC territory. Under the EIT Law, a uniform enterprise income tax rate of 25% is applicable. However, if non-resident enterprises have not formed permanent establishments or premises in the PRC, or if they have formed permanent establishment institutions or premises in the PRC but there is no actual relationship between the income derived in the PRC territory and the established institutions or premises set up by them, the enterprise income tax is, in that case, set at the rate of 10% for their income sourced from inside the PRC territory.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EIT Law, the EIT tax rate of a high and new technology enterprise is 15%. Pursuant to the Administrative Measures for the Recognition of High and New Technology Enterprises, promulgated on April 14, 2008 and last amended on January 29, 2016, the certificate of a high and new technology enterprise is valid for three (3) years and may be renewed after the inspection of the State Administration of Taxation, or the SAT, and other authorities.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Notice of the SAT Regarding the Determination of Chinese-Controlled Offshore Incorporated Enterprises as PRC Tax Resident Enterprises on the Basis of De Facto Management Bodies, or the SAT Circular 82, which was promulgated by the SAT on April 22, 2009 and last amended on December 29, 2017, sets out the standards and procedures for determining whether or not the “de facto management body” of an enterprise registered outside of the PRC territory and controlled by PRC enterprises or PRC enterprise groups is located within the PRC territory. Pursuant to the SAT Circular 82, offshore incorporated enterprise controlled by a PRC enterprise or a PRC enterprise group will be regarded as a PRC tax resident by virtue of having its “de facto management body” in China, and shall be subject to PRC enterprise income tax on its global income only if all of the following conditions are met: (i) the senior management and core management departments in charge of its daily operations function have their presence mainly in mainland China; (ii) its financial and human resources decisions are subject to determination or approval by persons or bodies in mainland China; (iii) its major assets, accounting books, company seals, and minutes and files of its board and shareholders’ meetings are located or kept in mainland China; and</w:t>
      </w:r>
    </w:p>
    <w:p>
      <w:pPr>
        <w:spacing w:after="0" w:line="6" w:lineRule="exact"/>
        <w:rPr>
          <w:sz w:val="20"/>
          <w:szCs w:val="20"/>
          <w:color w:val="auto"/>
        </w:rPr>
      </w:pPr>
    </w:p>
    <w:p>
      <w:pPr>
        <w:jc w:val="both"/>
        <w:ind w:firstLine="8"/>
        <w:spacing w:after="0" w:line="251" w:lineRule="auto"/>
        <w:tabs>
          <w:tab w:leader="none" w:pos="30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half of the enterprise’s directors or senior management with voting rights habitually reside in mainland China. Further to SAT Circular 82, in June 2018 the SAT amended the Measures for the Administration of Income Tax for Chinese-Funded Holding Resident Enterprises Registered Abroad (for Trial Implementation), or the SAT Bulletin 45, to provide more guidance on the implementation of SAT Circular 82. SAT Bulletin 45 provides for procedures and administration details of determination on resident status and administration on post-determination matters. Pursuant to the Arrangement between the Mainland of China and the Hong Kong Special Administrative Region for the Avoidance of Double Taxation and the Prevention of Fiscal Evasion with respect to Taxes on Income, or the Double Tax Avoidance Arrangement, promulgated by the SAT on August 21, 2006, taking effect on the same day, and other applicable laws of mainland China, if a Hong Kong resident enterprise is identified by the competent PRC tax authorities as having satisfied the conditions and provisions of the Double Tax Avoidance Arrangement and other applicable laws, the applicable withholding tax rate for dividends received by a Hong Kong resident enterprise from a PRC resident enterprise may be reduced from 10% to 5% if such Hong Kong resident directly holds at least 25% of the equity interest of the PRC resident enterprise. Pursuant to the Notice on Certain Issues with Respect to the Enforcement of Dividend Provisions in Tax Treaties promulgated on February 20, 2009 by the SAT, a Hong Kong resident enterprise must meet the following conditions, among others, in order to apply the reduced withholding tax rate: (i) its corporate form must be a company; (ii) it must directly own the required percentage of equity interests and voting rights in the PRC resident enterprise; and (iii) it must have directly owned such required percentage in the PRC resident enterprise throughout the twelve (12) months prior to receiving the dividends.</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Public Notice Regarding Certain Enterprise Income Tax Matters on Indirect Transfer of Properties by Non-Tax Resident Enterprises, or the SAT Bulletin 7, promulgated by the SAT on February 3, 2015 and partially repealed by the Public Notice on Issues Relating to Withholding at Source of Income Tax of Non-resident Enterprises promulgated by the SAT on October 17, 2017 and the Decision of the SAT on Promulgation of the Catalog of Invalid or Repealed Departmental Rules and Regulatory Documents of Tax Authorities promulgated by the SAT on December 29, 2017, extends its tax jurisdiction to transactions involving the transfer of taxable assets through offshore transfer of a foreign intermediate holding company. Pursuant to SAT Bulletin 7, where a non-resident enterprise indirectly transfers properties such as equity in PRC resident enterprises without any justifiable business purposes and aiming to avoid the payment of enterprise income tax, such indirect transfer must be deemed and reclassified as a direct transfer of equity in PRC resident enterprise. To assess whether an indirect transfer of PRC taxable properties has reasonable commercial purposes, all arrangements related to the indirect transfer must be considered comprehensively and factors set forth in SAT Bulletin 7 must be comprehensively analyzed in light of the actual circumstances. In addition, SAT Bulletin 7 has introduced safe harbors for internal group restructurings and the purchase and sale of equity through a public securities market.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17, 2017, the SAT promulgated the Public Notice on Issues Relating to Withholding at Source of Income Tax of Non-resident Enterprises, or the SAT Bulletin 37, which became effective on December 1, 2017 and was amended on June 15, 2018. SAT Bulletin 37 requires that with regard to equity investment earnings such as dividends and bonuses, interest, rental income, use of franchise income, property transfer income, and other kinds of taxable income earned by non-resident enterprises from sources in the PRC, source-based withholding shall be implemented; as such, the withholding obligors are the entities or individuals that have the direct obligation to make payment of relevant funds to the non-resident enterprises according to law or relevant contracts. Where the withholding obligor fails to withhold taxes according to law or is unable to carry out its withholding obligation, the non-resident enterprise shall declare the enterprise income tax to the competent taxation authority in the locality where the tax was accrued.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Value-added Tax</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Regulations of the PRC on Value-added Tax, or the VAT Regulations, which was promulgated by SCNPC on December 25, 2024, and came into effect on January 1, 2026, and the Implementing Rules of the Provisional Regulations of the PRC on Value-added Tax, which was promulgated by the Ministry of Financing of the PRC, or the MOF on December 25, 1993 and amended in December 15, 2008 and October 28, 2011 respectively, tax payers engaging in sale of goods, provision of processing services, repairs and replacement services, sales of services, intangible assets or real property, or importation of goods within the territory of the PRC shall pay value-added tax, or the VAT. The currently applicable tax rates of VAT vary a lot from 0% through 13% for different kinds of goods sold or service provided and different business models and transaction types, subject to adjustments that may be made by the SAT from time to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Intellectual Property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Copyright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Copyright Law of the PRC promulgated by the SCNPC on September 7, 1990 and last revised on November 11, 2020 taking effect as of June 1, 2021, or the Copyright Law, and the Implementing Regulations of the Copyright Law of the PRC promulgated by the State Council on May 30, 1991 and last amended on January 30, 2013 taking effect as of March 1, 2013, are the principal laws and regulations governing copyright related matters. The Copyright Law provides that Chinese citizens, legal persons or unincorporated organizations shall, whether published or not, be entitled to copyright of their works. The Copyright Law extends copyright protection to writings, oral works, photographic works, audio-visual works, and software products. Authors and other copyright owners may register their works with the registration agency recognized by the competent national copyright authority. Under the Copyright Law, the term of protection for copyrighted software of a legal person or institution is fifty (50) years since such software is first published in China. In addition, there is a voluntary registration system administered by the China Copyright Protection Center. To address the problem of copyright infringement related to the content posted or transmitted over the internet, the National Copyright Administration, or the NCAC, and the MIIT jointly promulgated the Measures for Administrative Protection of Copyright Related to Internet on April 29, 2005, which became effective on May 30, 2005.</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18, 2006, the State Council promulgated the Regulations on Protection of Information Network Transmission Right or the Transmission Right Regulations, which took effect on July 1, 2006 and was amended on January 30, 2013 taking effect as of March 1, 2013. According to the Transmission Right Regulations, an internet information service provider may be held liable under various situations, including if it knows or should reasonably have known a copyright infringement through the internet and fails to take measures to remove or block or disconnect links to the content, or, although not aware of the infringement, the internet information service provider fails to take such measures upon receipt of the copyright holder’s notice of infringement. The internet information service provider may be exempted from indemnification liabilities under certain circumstances.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 to Provisions of the Supreme People’s Court on Certain Issues Related to the Application of Law in the Trial of Civil Cases Involving Disputes over Infringement of Information Network Transmission Rights, which took effect on January 1, 2013 and was amended on December 29, 2020 taking effect from January 1, 2021, web players or web service providers who, without authorization, provide via information network works, performances or audio-video products for which others have the right of information network transmission shall be deemed to have infringed upon the information network transmission right, unless otherwise provided by laws and administrative regulations. Furthermore, where an internet service provider knows or should have known that network users are infringing on the right of information transmission through network services, and fails to take necessary measures such as deleting, shielding, disconnecting links, or providing technical support, such behavior/omission shall constitute an act of assisting infringement.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i w:val="1"/>
          <w:iCs w:val="1"/>
          <w:color w:val="auto"/>
        </w:rPr>
        <w:t>Software Registration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20, 2001, the State Council promulgated the Computer Software Protection Regulations, or the Computer Software Protection Regulations, which came into effect on October 1, 1991 and was last amended on January 30, 2013 taking effect as of March 1, 2013. The Computer Software Protection Regulations are formulated for protecting the rights and interests of computer software copyright owners, encouraging the development and application of computer software and promoting the development of software industry. In order to further implement the Computer Software Protection Regulations, the NCAC promulgated the Computer Software Copyright Registration Measures on February 20, 2002, as amended on May 19, 2004, which regulates registrations of software copyright, exclusive licensing contracts for software copyright and transfer contracts. The NCAC shall be the competent authority for the nationwide administration of software copyright registration and the Copyright Protection Center of China, or the CPCC, is designated as the software registration authority. The CPCC shall grant registration certificates to the computer software copyright applicants.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Trademark Law of the PRC, or the PRC Trademark Law, which was promulgated by the SCNPC on August 23, 1982 and last amended on April 23, 2019, and the Implementation Regulation of the PRC Trademark Law, which was adopted by the State Council on August 3, 2002 and last amended on April 29, 2014, registered trademarks include commodity trademarks, service trademarks, collective trademarks and certification trademarks.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Trademark Office of China National Intellectual Property Administration (or CNIPA) is in charge of trademark registrations nationwide and grants a protection term of ten (10) years to registered trademarks which may be renewed for consecutive ten-year periods upon request by the trademark owner. The PRC Trademark Law has adopted a “first-to-file” principle with respect to trademark registration. Where a trademark for which a registration has been made is identical or similar to another trademark which has already been registered or been subject to a preliminary examination and approval for use on the same kind of or similar commodities or services, the application for registration of such trademark may be rejected. Any person applying for the registration of a trademark may not prejudice the existing right first obtained by others, nor may any person register in advance a trademark that has already been used by another party and has already gained a “sufficient degree of reputation” through such party’s use. An application for registration of a malicious trademark not for use will be rejected and those who apply for trademark registration maliciously will be given administrative penalties of warnings or fines according to the circumstances; those who file trademark lawsuits maliciously will be punished by the people’s court according to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Domain Names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Administrative Measures on Internet Domain Names, or the Domain Name Measures, was promulgated by the MIIT on August 24, 2017 and became effective as of November 1, 2017. According to the Domain Name Measures, applicants who apply for domain name root servers and setup of operating entities of domain name root servers or registration and management entities of domain names within the territory of China, shall obtain authorization for this purpose from the MIIT or the local communications administration bureaus at the provisional level. The registration of domain names is generally on a “first-apply-first-registration” basis and a domain name applicant will become the domain name holder upon the completion of the application procedure. On November 27, 2017, the MIIT promulgated the Circular of the Ministry of Industry and Information Technology on Regulating the Use of Domain Names for Internet Information Services, which became effective on January 1, 2018, pursuant to which, where the internet information service provider is an entity, it shall use a domain name that is registered and owned by itself or the person in charge of it or its senior executive in accordance with laws and regulations, while offering internet information services.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i w:val="1"/>
          <w:iCs w:val="1"/>
          <w:color w:val="auto"/>
        </w:rPr>
        <w:t>Patent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Patent Law of the PRC promulgated by the SCNPC on March 12, 1984 and last amended on October 17, 2020, being effective as of June 1, 2021, and the Implementing Rules of the Patent Law of the PRC promulgated by the State Council on December 21, 1992 and last amended on December 11, 2023, taking effect as of December 11, 2023, are the principal laws and regulations governing patent related matters. The Patent Office of CNIPA is in charge of the administration of patent-related work nationwide, including accepting and examining patent applications in a uniform way and granting patent rights in accordance with law. An invention or utility model for which a patent right is to be granted shall meet three conditions, namely novelty, inventiveness and practical applicability. Patents cannot be granted for scientific discoveries, rules and methods for intellectual activities, methods used to diagnose or treat diseases, animal and plant breeds, substances obtained by means of nuclear transformation, or designs that are used principally to identify the pattern, color or a combination thereof, of plane presswork. Except under certain specific circumstances provided by law, any third-party user must obtain consent or a proper license from the patent owner before using the patent, otherwise the use will constitute an infringement of the rights of the patent holder.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Secrets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PRC Anti-Unfair Competition Law, or Anti-Unfair Competition Law, promulgated by the SCNPC on September 2, 1993, as amended on November 4, 2017, April 23, 2019 and June 27, 2025 respectively, the term “trade secrets” refers to technical and business information that is unknown to the public, has utility, may create business interests or profits for its legitimate right holders, and is maintained as a secret by its legitimate right holders. Under the Anti-Unfair Competition Law, business operators are prohibited from infringing others’ trade secrets by: (i) acquiring trade secrets from the legitimate right holders by theft, bribery, fraud, coercion, electronic intrusion or any other illicit means; (ii) disclosing, using or permitting others to use trade secrets of the legitimate right holders acquired by any means specified in item (i) above; (iii) disclosing, using or permitting others to use trade secrets in their possession, in violation of their confidentiality obligations or any requirements of the legitimate right holders to keep such trade secrets confidential; or (iv) abetting, tempting or aiding a person into acquiring, disclosing, using, or permitting others to use the trade secrets, in violation of his/her confidentiality obligations or any requirements of the legitimate right holders to keep such trade secrets confidential. Pursuant to the Civil Code, no matter whether a contract is lawfully formed or not, the parties may not disclose or improperly use the trade secrets or other confidential information they have come to know in the course of concluding such contract, and if a party divulges or improperly uses such trade secret or information, thereby causing losses to the other party(ies), such party shall be liable for compensating the other party(ies).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Anti-monopoly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30, August 2007, the SCNPC promulgated the Anti-Monopoly Law of the PRC, or the Anti-Monopoly Law, which was last amended on June 24, 2022, taking effect as of August 1, 2022, which prohibits monopolistic conduct such as entering into monopoly agreements, abuse of dominant market position and concentration of undertakings that have the effect of eliminating or restricting competition.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Anti-Monopoly Law, competing business operators may not enter into monopoly agreements that eliminate or restrict competition, such as by boycotting transactions, fixing or changing the price of commodities, limiting the output of commodities, or fixing the price of commodities for resale to third parties, among other actions, unless the agreement will satisfy the exemptions under the Anti-monopoly Law, such as improving technologies, increasing the efficiency and competitiveness of small and medium-sized undertakings, or safeguarding legitimate interests in cross-border trade and economic cooperation with foreign counterparts. Sanctions for violations include an order to cease the activities, and confiscation of illegal gains and fines (ranging from 1% to 10% of sales revenues from the preceding year, or a fine of not more than RMB5 million if there was no sales for the preceding year; or a fine of not more than RMB3 million if the monopoly agreement reached has not been performed.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Business operators are forbidden to use data, algorithms, technologies, capital advantages and platform rules to engage in monopolistic acts prohibited by the Anti-Monopoly Law, and in particular, business operators with a dominant market position are forbidden to use data, algorithms, technologies and platform rules to abuse their dominant market position as specified in the Anti-Monopoly Law such as selling commodities at unfairly high prices or buying commodities at unfairly low prices, selling products at prices below cost without any justifiable cause, and refusing to trade with a trading party without any justifiable cause.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0" w:name="page101"/>
    <w:bookmarkEnd w:id="10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7, 2021, the Anti-Monopoly Committee of the State Council promulgated the Anti-Monopoly Guidelines for the Internet Platform Economy Sector, or the Anti-Monopoly Guidelines, aiming to provide guidelines for supervising and prohibiting monopolistic conduct in connection with the internet platform business operations and further elaborate on the factors for recognizing such monopolistic conduct in the internet platform industry. Pursuant to the Anti-Monopoly Guidelines, the methods of an internet platform collecting or using the privacy information of internet users may also be one of the factors to be considered for analyzing and recognizing monopolistic conducts in the internet platform industry. For example, whether the business operator compulsorily collects unnecessary user information may be considered to analyze whether there is a bundled sale or additional unreasonable trading condition, which is one of the behaviors constituting abuse of dominant market position. In addition, factors including, among others, providing differentiated transaction prices or other transaction conditions for consumers with different payment ability based on consumption references and usage habits analyzed using big data and algorithms is also one of the behaviors constituting abuse of dominant market position. Furthermore, whether the business operators are required to “choose one” among the internet platform and its competitive platforms maybe considered to analyze whether such internet platform operator with dominant market position abuses its dominant market position and excludes or restricts market competition. Subsequently, on November 15, 2025, the State Administration for Market Regulation (SAMR) issued the draft of the Anti-Monopoly Compliance Guidelines for Internet Platforms for public consultation, which listed eight types of monopoly risks: algorithmic collusion among platforms, organizing or assisting merchants to reach monopoly agreements, unfairly high pricing by platforms, below-cost sales, blocking and shielding, “choose-one-of-two” practices, “nationwide lowest price” requirements, and differential treatment by platforms. On February 13, 2026, SAMR formally issued the Anti-Monopoly Compliance Guidelines for Internet Platforms, which took effect on the date of issuance and provides systematic rules on risk identification, risk management and compliance assurance mechanisms for internet platforms.</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10, 2023, SAMR issued the Provisions on the Prohibitions of Monopoly Agreements, which took effect on April 15, 2023 and was amended on December 9, 2025, taking effect on February 1, 2026, which superseded the previously-issued interim provisions promulgated in 2019 and clarified certain practical issues, e.g., how to define the scope of commodity markets related to the platform economy.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10, 2023, SAMR issued the Provisions on the Prohibitions of Acts of Abuse of Dominant Market Positions, taking effect on April 15, 2023, which superseded the previously-issued interim provisions promulgated in 2019 and clarified certain practical issues, e.g., how to determine whether a platform economy operator has gained a dominant market position.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25, 2024, the Anti-Monopoly Committee of the State Council promulgated the Anti-Monopoly Compliance Guidelines of Business Operators to guide and support the business operators in establishing and improving anti-monopoly compliance management systems.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Employment and Social Welfare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PRC Labor Law, effective as of January 1, 1995 and last amended on December 29, 2018 and the PRC Labor Contract Law, effective as of January 1, 2008 and amended on December 28, 2012, a written labor contract shall be executed by an employer and an employee when the employment relationship is established, and an employer is under an obligation to sign an unlimited-term labor contract with any employee who has worked for the employer for ten (10) consecutive years. Furthermore, if an employee requests or agrees to renew a fixed-term labor contract that has already been entered into twice consecutively, the resulting contract must have an unlimited term, with certain exceptions. All employers must pay remuneration to their employees equal to at least the local minimum wage standards. All employers are required to establish a system for labor safety and sanitation, strictly abide by state rules and standards and provide employees with appropriate workplace safety training. In addition, the mainland China government has continued to introduce various new labor-related regulations after the PRC Labor Contract Law. Amongst other things, new annual leave requirements mandate that annual leave ranging from five (5) to fifteen (15) days is available to nearly all employees and further require that the employer compensate an employee for any annual leave days the employee is unable to take in the amount of three times his daily salary, subject to certain exceptions. Moreover, all PRC enterprises are generally required to implement a standard working time system of eight (8) hours a day and forty(40) hours a week, and if the implementation of such standard working time system is not appropriate due to the nature of the job or the characteristics of business operation, the enterprise may implement a flexible working time system or comprehensive working time system after obtaining approvals from the labor administration authorities.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i w:val="1"/>
          <w:iCs w:val="1"/>
          <w:color w:val="auto"/>
        </w:rPr>
        <w:t>Labor Dispatch</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PRC Labor Contract Law, the dispatched contract workers shall be entitled to equal pay for equal work as a fulltime employee of an employer, and they shall only be engaged to perform temporary, ancillary or substitute job positions. A temporary job position refers to a position with a term of less than six months; an ancillary job position refers to a non-main business position that serves main business positions; and a substitute job position refers to a position where the employee who cannot work for a given period of time due to full-time study, vocation or other reasons may be substituted by another worker. An employer shall strictly control the number of dispatched contract workers, and such number shall not exceed certain percentage of total number of workers specified by the labor administrative department of the State Council.</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Interim Provisions on Labor Dispatch promulgated by the Ministry of Human Resources and Social Security on January 24, 2014 and effective as of March 1, 2014, the number of dispatched contract workers hired by an employer shall not exceed 10% of the total number of its workers (including both directly hired employees and dispatched contract workers).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Insurance and Housing Provident Fund</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PRC Social Insurance Law, which was promulgated on October 28, 2010 and amended on December 29, 2018, has established social insurance systems of basic pension insurance, unemployment insurance, maternity insurance, work injury insurance and basic medical insurance, and has elaborated in detail the legal obligations and liabilities of employers who do not comply with relevant laws and regulations on social insurance.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Interim Regulations on the Collection and Payment of Social Insurance Premiums, the Regulations on Work Injury Insurance, the Regulations on Unemployment Insurance and the Trial Measures on Employee Maternity Insurance of Enterprises, enterprises in the PRC shall provide benefit plans for their employees, which include basic pension insurance, unemployment insurance, maternity insurance, work injury insurance and basic medical insurance. An enterprise must provide social insurance by going through social insurance registration with local social insurance authorities or agencies and shall pay or withhold relevant social insurance premiums for or on behalf of employees. On July 20, 2018, the General Office of the CPC Central Committee and the General Office of the State Council issued the Plan for Reforming the State and Local Tax Collection and Administration Systems, which stipulated the power to collect social insurance premiums is solely delegated to the SAT and its local counterparts. According to the Administrative Measures on Housing Provident Fund, which was promulgated on April 3, 1999 by the State Council and last amended on March 24, 2019, housing provident fund paid and deposited both by employees themselves and their unit employers shall be owned by the employees. Employers shall undertake the registration of payment and deposit of the housing provident fund at the competent housing provident fund management center and upon the examination by such management center, employers shall complete procedures for opening an account at the commissioned bank for the deposit of employees’ housing provident funds. Enterprises are also required to pay and deposit housing provident fund contributions in full amount and in a timely manner.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Exchange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 to the Regulation of the PRC on Foreign Exchange Administration, or the Foreign Exchange Regulations, issued by the State Council on January 29, 1996 and last amended on August 5, 2008 and the Administrative Regulations of Foreign Exchange Settlement and Sale and Payment of Foreign Exchange, or the Foreign Exchange Settlement &amp; Sale &amp; Payment Regulations, promulgated by the People’s Bank of the PRC on June 20, 1996, generally, (i) the foreign exchange income and expenditure and foreign exchange business operations of Chinese institutions and individuals and (ii) the foreign exchange income and expenditure and foreign exchange business operations conducted within the PRC territory by overseas institutions and individuals, shall be subject to foreign exchange administration by the State Administration of Foreign Exchange, or SAFE. Renminbi is freely convertible for payments of current account items such as trade and service-related foreign exchange transactions and there is no substantial control on dividend payments to abroad (upon the authenticity verification and completion of tax payment), but is not freely convertible for capital expenditure items such as direct investment, loans or investments in securities outside of the PRC unless the approval from SAFE or its local counterparts is obtained in advance.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2" w:name="page103"/>
    <w:bookmarkEnd w:id="10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March 30, 2015, SAFE promulgated the Circular on Reforming the Management Approach Regarding the Foreign Exchange Capital Settlement of Foreign-Invested Enterprises, or SAFE Circular 19, which became effective on June 1, 2015 and was last amended on March 23, 2023. According to SAFE Circular 19, the foreign exchange capital of foreign-invested enterprises (or FIEs) shall follow the principle of “discretionary foreign exchange settlement”, i.e., the foreign exchange capital in the capital account of an FIE, after its amount being confirmed by the local SAFE (or after its amount being recorded by the handling banks) can be settled at such banks based on the actual operational needs of the FIE. The proportion (upper limit) of “discretionary foreign exchange settlement” of an FIE is temporarily set at 100% of the amount of foreign exchange capital of such FIE. The Renminbi converted from the foreign exchange capital will be kept in a designated account and if an FIE needs to make further payment from such account, it still needs to provide supporting documents and proceed with the review process with the banks. Furthermore, SAFE Circular 19 stipulates that the use of capital by FIEs shall follow the principles of authenticity and self use within the business scope of enterprises. Furthermore, the foreign exchange capital of an FIE and the Renminbi fund obtained by such FIE from foreign exchange settlement shall not be used for any of the following purposes: (i) directly or indirectly used for payments beyond the business scope of the enterprises or payments as prohibited by relevant laws and regulations; (ii) directly or indirectly used for investment in securities unless otherwise provided by the laws and regulations; (iii) directly or indirectly used for issuance of Renminbi entrusted loans except for those permitted by the business scope of such FIE, repayment of interenterprise loans (including advances by third parties) or repayment of bank loans that have been transferred to a third party; or (iv) directly or indirectly used for expenses related to the purchase of real estate that is not for self use (except for the foreign-invested real estate enterprises).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Circular on Reforming and Regulating Policies on the Control over Foreign Exchange Settlement of Capital Accounts, or SAFE Circular 16, was promulgated by SAFE on June 9, 2016. Pursuant to SAFE Circular 16, enterprises registered in the PRC are also allowed to convert their foreign debts from foreign currency to Renminbi on a discretionary basis. SAFE Circular 16 provides a unified standard for the conversion of foreign exchange under capital account items (including but not limited to foreign currency capital and foreign debts) on a discretionary basis which applies to all enterprises registered in the PRC. SAFE Circular 16 reiterates the principle that Renminbi converted from foreign currency-denominated capital of a company may not be directly or indirectly used for purposes beyond its business scope or prohibited by PRC Laws, while such converted Renminbi shall not be provided as loans to its non-associated enterprises. On January 26, 2017, SAFE promulgated the Notice on Improving the Check of Authenticity and Compliance to Further Promote Foreign Exchange Control which specifies several capital control measures with respect to the outbound remittance of profit from domestic entities to offshore entities, including (i) under the principle of genuine transaction, banks shall check board resolutions regarding profit distribution, the original version of tax filing records and audited financial statements; and (ii) domestic entities shall make up for losses incurred in previous years before remitting abroad any profit. Moreover, pursuant to the circular, domestic entities shall make detailed explanations of the sources and utilization scheme of their invested funds, and provide board resolutions, contracts and other supporting materials proving the authenticity when undergoing the registration and remittance procedures in connection with an outbound investment.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23, 2019, SAFE promulgated the Circular of the State Administration of Foreign Exchange on Further Promoting the Facilitation of Cross-Border Trade and Investment, or SAFE Circular 28, which, among other things, allows FIEs that do not have “equity investment” in their approved business scope to use their capital obtained from foreign exchange settlement to make domestic equity investments as long as such investments are real and in compliance with the foreign investment-related laws and regulations. On April 10, 2020, SAFE promulgated the Circular of SAFE on Optimizing Foreign Exchange Administration to Support the Development of Foreign-related Business pursuant to which the facilitation of payments using offshore incomes under the capital accounts (including capital contribution, foreign debts, proceeds from overseas listings and etc.) by qualified domestic enterprises shall be promoted nationwide.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4, 2023, the SAFE promulgated the Notice of the State Administration of Foreign Exchange on Further Deepening Reform and Promoting the Facilitation of Cross-border Trade and Investment, or the SAFE Circular 2023[28]. The SAFE Circular 2023[28] includes technology-based small and medium-sized enterprises (SMEs) in the pilot scope of cross-border financing facilitation, further supporting the scientific and technological innovation of SMEs. High-tech, “specialized, refined, and innovative”, and technology-based SMEs in specific jurisdictions such as Beijing that meet the conditions can independently borrow foreign debts within a limit of up to US$10 million or equivalent, while those in other regions that meet the conditions can independently borrow foreign debts within a limit of up to US$5 million or equivalent. In addition, the SAFE Circular 2023[28] also stipulates measures to facilitate foreign direct investment enterprises in their payment for equity transfers under domestic reinvestment and use of proceeds raised from overseas listings.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i w:val="1"/>
          <w:iCs w:val="1"/>
          <w:color w:val="auto"/>
        </w:rPr>
        <w:t>Registration of Overseas Investment by the Domestic Residents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4, 2014, SAFE promulgated the Circular on Relevant Issues Concerning Foreign Exchange Administration on Domestic Residents’ Offshore Investments and Financing and Roundtrip Investments through Special Purpose Vehicles, or SAFE Circular No. 37, which, for the purpose of simplifying the approval process, loosening the regulation and promoting the cross-border investments, replaced the Circular of the Issues Concerning the Foreign Exchange Administration on Domestic Residents’ Financing and Round-trip Investments through Overseas Special Purpose Vehicles issued by SAFE on October 21, 2005, or the Circular No. 75. Pursuant to SAFE Circular No. 37, SAFE and its branches regulate the establishment of special purpose vehicles, or the SPV, by domestic residents. “Domestic residents” include domestic institutions and domestic individual residents, which include, Chinese citizens holding the ID cards of Chinese domestic residents, military ID certificates or ID certificates for armed police force, and overseas individuals that do not hold any domestic legitimate ID certificates but have habitual residences within the territory of the PRC due to relationships of economic interests. Prior to contributing domestic and overseas legitimate assets or interests to a SPV, a domestic resident shall apply to the competent SAFE for foreign exchange registration of overseas investment. In the event that the basic information of the registered overseas SPV is changed, such as the domestic individual resident shareholder, name, operating period, etc., or if there is a capital increase, capital reduction, equity transfer or swap, merge, spin-off or other substantial changes, the modification registration of foreign exchange for overseas investment shall be completed with the competent SAFE. Where a non-listed SPV uses its own equity interests or options to grant equity incentives to the directors, supervisors and senior management of a domestic enterprise under its direct or indirect control, as well as other employees in employment or labor relationships with the aforesaid company, relevant domestic individual residents may, before exercising their rights, apply to the competent SAFE for foreign exchange registration of the SPV. Failure to comply with the registration procedures set forth in SAFE Circular No. 37 may result in penalties under the Foreign Exchange Regulations. In the meantime, SAFE has promulgated the Operating Guideline for the Issues Concerning Foreign Exchange Administration over Round-trip Investments with respect to the procedures for SAFE registration under SAFE Circular No. 37, which took effect on July 4, 2014 as an attachment to SAFE Circular No. 37.</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13, 2015, SAFE promulgated the Circular of the State Administration of Foreign Exchange on Further Simplifying and Improving the Foreign Exchange Administration Policies on Direct Investment, effective as of June 1, 2015 and amended on December 30, 2019, which cancels the administrative approvals of foreign exchange registration of inbound direct investment and outbound direct investment. In addition, the circular simplifies the foreign exchange registration procedures and investors can register with banks to have the registration of foreign exchange under the condition of inbound direct investment and outbound direct investment.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13, 2009, SAFE promulgated the Circular of the State Administration of Foreign Exchange on Promulgating the Administrative Provisions on Foreign Exchange of the Outbound Direct Investments of Domestic Institutions. Pursuant to the circular, domestic institutions may make outbound direct investment with their own foreign exchange funds, domestic foreign exchange loans meeting relevant requirements, foreign exchange purchased with Renminbi funds, tangible assets, intangible assets and other sources of foreign exchange assets approved by the foreign exchange authorities. Domestic institutions may retain the profits made from outbound direct investment outside China for their outbound direct investment. In addition, a domestic institution shall, after obtaining the approval of its outbound direct investment from the competent government authorities, handle the foreign exchange registration formalities for its overseas direct investment at the local foreign exchange authority.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Stock Incentive Plans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SAFE promulgated the Notices on Issues Concerning the Foreign Exchange Administration for Domestic Individuals Participating in Stock Incentive Plan of Overseas Publicly Listed Company, or the Stock Option Rules, on February 15, 2012, replacing the previous rules issued by SAFE in March 2007. Under the Stock Option Rules and other rules and regulations, PRC citizens and non-PRC citizens who reside in China for a continuous period of not less than one (1) year who participate in any stock incentive plan of an overseas publicly listed company, subject to a few exceptions, are required to register with SAFE through a domestic qualified agent (including a PRC subsidiary of such overseas-listed company) and complete certain other procedures. The domestic qualified agent is required to amend SAFE registration with respect to the stock incentive plan if there is any material change to the stock incentive plan, the domestic qualified or other material changes. In addition, an overseas-entrusted institution must be retained to handle matters in connection with the exercise or sale of stock options and the purchase or sale of shares and interests.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M&amp;A Rules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8, 2006, six PRC regulatory agencies, including the Ministry of Commerce, the State-owned Assets Supervision and Administration Commission, the SAT, SAMR, the China Securities Regulatory Commission, or the CSRC, and SAFE jointly issued the Rules on Merger &amp; Acquisition of Domestic Enterprises by Foreign Investors, or the M&amp;A Rules, which became effective on September 8, 2006 and was amended on June 22, 2009. The M&amp;A Rules require in some instances that the parties to any change-of-control transaction in which a foreign investor will take control of a PRC domestic enterprise shall report the same to the MOFCOM, where any of the following situations exists: (i) the transaction involves an important industry in China,</w:t>
      </w:r>
    </w:p>
    <w:p>
      <w:pPr>
        <w:spacing w:after="0" w:line="3" w:lineRule="exact"/>
        <w:rPr>
          <w:sz w:val="20"/>
          <w:szCs w:val="20"/>
          <w:color w:val="auto"/>
        </w:rPr>
      </w:pPr>
    </w:p>
    <w:p>
      <w:pPr>
        <w:jc w:val="both"/>
        <w:ind w:firstLine="8"/>
        <w:spacing w:after="0" w:line="252" w:lineRule="auto"/>
        <w:tabs>
          <w:tab w:leader="none" w:pos="2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may affect national economic security, or (iii) the PRC domestic enterprise has a well-known trademark or historical Chinese trade name in China. The M&amp;A Rules, among other things, also require that (i) the PRC entities or individuals obtain the MOFCOM approval before they establish or control an SPV overseas, provided that they intend to use the SPV to acquire their equity interests in a PRC company for a consideration paid by means of share swap (i.e., paid through newly issued shares of the SPV or existing shares of the SPV then held by such PRC entities or individuals), and list their equity interests in the PRC company overseas indirectly by listing the SPV in an overseas market, and (ii) such SPV obtain the MOFCOM’s approval before it acquires the equity interests held by such PRC entities or PRC individual in the PRC company by means of share swap; and (iii) the SPV obtain CSRC approval before it lists overseas.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4" w:name="page105"/>
    <w:bookmarkEnd w:id="10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pursuant to the M&amp;A Rules, the Anti-Monopoly Law and the Provisions on the Examination of Concentration of Undertakings issued by SAMR on March 10, 2023, effective as of April 15, 2023, the participants to a change-of-control transaction in which a foreign investor will acquire control of a PRC domestic enterprise or a foreign company with substantial PRC operations, if certain thresholds stipulated by the State Council are triggered.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Notice of the General Office of the State Council on the Establishment of the Security Review System for Mergers and Acquisitions of Domestic Enterprises by Foreign Investors and the Security Review Rules, or the Security Review Notice, issued by the General Office of the State Council on February 3, 2011, taking effect on March 4, 2011,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mainland China government authorities. Pursuant to the Provisions on the National Security Review of Foreign Mergers and Acquisitions of Domestic Enterprises or the National Security Review Provisions, issued by the MOFCOM effective on September 1, 2011, when reviewing the acquisition of a domestic enterprise by a foreign enterprise, the MOFCOM will determine whether such a transaction should be subject to national security review by considering both of its “the substance and actual influence”, and foreign investors may not avoid the national security review through methods such as a nominee structure, trust arrangements, multilayer investments, exercising control through contractual arrangements or offshore transactions. On December 19, 2020, the NDRC and the MOFCOM issued the Measures for the Security Review of Foreign Investment, which provides that if a foreign investor’s merger or acquisition of a domestic enterprise falls within the scope of security review specified in the Security Review Notice, the foreign investor shall file an application with the NDRC for security review.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Overseas Offering and Listing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17, 2023, the CSRC promulgated the Trial Administrative Measures of the Overseas Securities Offering and Listing by Domestic Companies, or the Overseas Listing Trial Measures, and relevant five guidelines, which became effective on March 31, 2023. According to the Overseas Listing Trial Measures, (1) domestic companies that seek to offer or list securities overseas, both directly and indirectly, shall fulfill the filing procedure and report relevant information to the CSRC; (2) if the issuer meets both of the following criteria, the overseas offering and listing shall be determined as an indirect overseas offering and listing by a domestic company (i) 50% or more of any of the issuer’s operating revenue, total profit, total assets or net assets as documented in its audited consolidated financial statements for the most recent fiscal year is accounted for by domestic companies; and (ii) the main parts of the issuer’s business activities are conducted in mainland China, or its main place(s) of business are located in mainland China, or the majority of senior management staff in charge of its business operations and management are Chinese citizens or have their usual place(s) of residence located in mainland China. Where an issuer submits an application for initial public offering to competent overseas regulators, such issuer must file with the CSRC within three business days after such application is submitted. The Overseas Listing Trial Measures also require subsequent reports to be filed with the CSRC upon occurrence of certain material events, such as change of control or voluntary or forced delisting of the issuer(s) who have completed overseas offerings and listings.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the Overseas Listing Trial Measures, the domestic companies engaging in overseas offering and listing activities shall strictly comply with applicable laws and regulations of mainland China. If a domestic company fails to complete the filing procedures or there are any false records, misleading statements or material omissions in its filing documents, such domestic company may be subject to administrative penalties, such as order to rectify, warnings, fines, and its controlling shareholders, actual controllers, the persons directly in charge and other directly liable persons may also be subject to administrative penalties, such as warnings and fines.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24, 2023, the CSRC and other three PRC regulatory agencies published the Provisions on Strengthening the Confidentiality and Archives Management Related to Overseas Issuance and Listing of Securities by Domestic Companies, or the Confidentiality and Archives Management Provisions, effective on March 31, 2023. Pursuant to the Confidentiality and Archives Management Provisions, PRC domestic companies that seek to offer and list securities in overseas markets shall establish confidentiality and archives system. The “domestic companies” under the Confidentiality and Archives Management Provisions refer to domestic companies directly listed on a foreign stock exchange and the domestic operating entities of an offshore company being indirectly listed on a foreign stock exchange. The PRC domestic companies shall obtain approval from the competent authorities who are delegated the power to grant such approval and file with the confidential administration department at the same level when providing or publicly disclosing documents and materials related to state secrets (where it is uncertain as to whether any document or material constitutes state secrets or there is any dispute thereof, the PRC domestic companies shall report the same to the confidential administration department for determination) or secrets of the government authorities to the securities 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the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securities companies and securities service agencies and the PRC domestic companies shall not provide accounting files to an overseas accounting firm unless such firm complies with the corresponding procedures.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subsidiary and the VIEs and their principal subsidiaries,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6240780" cy="3437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40780" cy="3437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Douniu is 99% owned by Mr. Jinhong Deng, our founder, chairman and chief executive officer, and 1% owned by Mr. Min Liu, our director and senior vice president. Both Mr. Deng and Mr. Liu are beneficial owners of our company.</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Yimutian Xinnong is 88.53% owned by Mr. Jinhong Deng, our founder, chairman, chief executive officer, 6.34% owned by Ms. Jiefang Ji, the founder of Wise Prime International Limited, a shareholder of our company, 0.85% owned by Mr. Yahui Zhou, the founder of Keeneyes Future Holding Limited, a shareholder of our company, 0.85% owned by Mr. Zhijia Liu, our director, 0.85% owned by Mr. Bailin Song, a beneficial owner of shares of our company, 0.85% owned by Mr. Mi Zhou, our director, 0.85% owned by Mr. Min Liu, our director, senior vice president, and 0.85% owned by Mr. Haiyan Gao, a beneficial owner of shares of our company.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Contractual Arrangements and the VIEs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Yimutian Xinnong primarily engages in the operation of Yimutian App, an agricultural product B2B e-commerce platform, which involves the provision of internet information services. Beijing Douniu engages in the operation of Douniu App, an online agricultural product wholesale market circulation platform. Laws and regulations of mainland China restrict foreign investment in companies that engage in value-added telecommunication services. As such, we entered into a series of contractual arrangements with Yimutian Xinnong and Beijing Douniu and their respective shareholders. These contractual arrangements with the VIEs allow us to direct activities of the VIEs that most significantly affect the economic performance of the VIEs, receive substantially all of the economic benefits of the VIEs to the extent that we have satisfied the conditions for consolidation of the VIEs under U.S. GAAP, and have an exclusive option to purchase all or part of the equity interests in the VIEs when and to the extent permitted by laws of mainland China. As a result of these contractual arrangements, we are considered to be the primary beneficiary of the VIEs for accounting purpose and consolidated their operating results in our financial statements under U.S. GAAP, to the extent the conditions for consolidation of the VIEs under U.S. GAAP are satisfied.</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Even though these contractual arrangements allow us to be considered the primary beneficiary of the VIEs for accounting purpose, which results in the consolidation of the VIEs’ operating results in our financial statements under U.S. GAAP, to the extent the conditions for consolidation of the VIEs under U.S. GAAP are satisfied, this may be less effective than equity ownership, and we could face heightened risks and costs in enforcing these contractual arrangements, because there are substantial uncertainties regarding the interpretation and application of current and future laws, regulations, and rules of mainland China relating to the legality and enforceability of these contractual arrangements. For the risks related to the nominee shareholders of the VIEs, see “Item 3. Key Information—D. Risk Factors—Risks Related to Our Corporate Structure—Yimutian Inc. is a Cayman Islands holding company with no operations of its own and we currently conduct our operations in mainland China through our subsidiaries and the VIEs. Investors in our ADSs should note that they are purchasing equity interests in a Cayman Islands holding company rather than equity interests in the VIEs in mainland China. Given that there are uncertainties regarding the interpretation and application of current and future PRC laws, regulations, and rules relating to the agreements that establish the VIE structure for our operations in mainland China, including potential future actions by the mainland China government, if the mainland China government deems that our contractual arrangements with the VIEs do not comply with the laws of mainland China, or if regulations or interpretation of the existing regulations change in the future, we could be subject to penalties or be forced to relinquish our interests in the VIEs.” and “Item 3. Key Information—D. Risk Factors—Risks Related to Our Corporate Structure—Any failure by any of the VIEs or their shareholders to perform their respective obligations under our contractual arrangements with them would have a material and adverse effect on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make us the primary beneficiary of the VIEs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Powers of Attorney. </w:t>
      </w:r>
      <w:r>
        <w:rPr>
          <w:rFonts w:ascii="Times New Roman" w:cs="Times New Roman" w:eastAsia="Times New Roman" w:hAnsi="Times New Roman"/>
          <w:sz w:val="18"/>
          <w:szCs w:val="18"/>
          <w:color w:val="auto"/>
        </w:rPr>
        <w:t>Pursuant to the powers of attorney executed by the shareholders of the VIEs, each of them irrevocably authorizes the WFOE,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person designated by the WFOE, to act on their respective behalf as proxy attorney, to the extent permitted by law, to exercise all rights of shareholders concerning all the equity interest held by each of them in the VIEs, including without limitation, the right to (i) propose, convene and attend shareholders’ meetings and sign relevant resolutions, (ii) exercise all shareholder’s rights under laws of mainland China and the articles of association of the VIEs, such as the voting right, nomination right and appointment right, (iii) receive dividends and sell, transfer, pledge or dispose of all the equity held in part or in whole in the VIEs. The powers of attorney remain irrevocably effective as long as such shareholders remain as the shareholders of the VIEs.</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Equity Pledge Agreements. </w:t>
      </w:r>
      <w:r>
        <w:rPr>
          <w:rFonts w:ascii="Times New Roman" w:cs="Times New Roman" w:eastAsia="Times New Roman" w:hAnsi="Times New Roman"/>
          <w:sz w:val="18"/>
          <w:szCs w:val="18"/>
          <w:color w:val="auto"/>
        </w:rPr>
        <w:t>Pursuant to the equity pledge agreements among the WFOE, the VIEs and their respective shareholders,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of the VIEs pledged all of their equity interests in the VIEs to the WFOE to guarantee the performance of the obligations by such shareholders and by the VIEs under the exclusive option agreements, the exclusive business cooperation agreements and the powers of attorney. In the event of a breach by the VIEs or any of their respective shareholders of the obligations under these contractual arrangements, the WFOE, as pledgee, will have the right to enforce the pledge. The shareholders of the VIEs also covenant that, without the prior written consent of the WFOE, they will not dispose of the pledged equity, create or allow any encumbrance on the pledged equity. The agreements will in general remain in effect until the fulfillment of all obligations under the other VIE agreements. As of the date of this annual report, we have completed the registration of the equity pledge contemplated under the equity pledge agreements with the competent authorities in accordance with the laws and regulations of mainland China.</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Letters of Confirmation and Undertaking. </w:t>
      </w:r>
      <w:r>
        <w:rPr>
          <w:rFonts w:ascii="Times New Roman" w:cs="Times New Roman" w:eastAsia="Times New Roman" w:hAnsi="Times New Roman"/>
          <w:sz w:val="18"/>
          <w:szCs w:val="18"/>
          <w:color w:val="auto"/>
        </w:rPr>
        <w:t>Pursuant to the letters of confirmation and undertaking executed by the shareholders of the VIEs,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them, among other things, (i) confirms that his/her spouse does not have the right to claim any interests in the respective equity of the VIEs (together with any other interests therein) or exert influence on the day-to-day management and voting matters of the respective equity of the VIEs; undertakes that</w:t>
      </w:r>
    </w:p>
    <w:p>
      <w:pPr>
        <w:spacing w:after="0" w:line="1" w:lineRule="exact"/>
        <w:rPr>
          <w:sz w:val="20"/>
          <w:szCs w:val="20"/>
          <w:color w:val="auto"/>
        </w:rPr>
      </w:pPr>
    </w:p>
    <w:p>
      <w:pPr>
        <w:ind w:left="280" w:hanging="272"/>
        <w:spacing w:after="0"/>
        <w:tabs>
          <w:tab w:leader="none" w:pos="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his/her divorce, he/she will take all actions that the WFOE deems necessary to safeguard the execution of the contractual arrangement;</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3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 will not participate in, engage in, or merge with any business that competes with the WFOE or hold any interest from such business; (iv) he/she will not cause any conflict of interest between the WFOE and the VIEs or himself/herself; and (v) in the event of such conflict of interest, he/she will act in accordance with the WFOE’s instruction to eliminate such conflict of interest. These letters are effective during the term of the VIE agreements.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7" w:name="page108"/>
    <w:bookmarkEnd w:id="107"/>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Spousal Consent Letters. </w:t>
      </w:r>
      <w:r>
        <w:rPr>
          <w:rFonts w:ascii="Times New Roman" w:cs="Times New Roman" w:eastAsia="Times New Roman" w:hAnsi="Times New Roman"/>
          <w:sz w:val="18"/>
          <w:szCs w:val="18"/>
          <w:color w:val="auto"/>
        </w:rPr>
        <w:t>Pursuant to the spousal consent letters executed by the spouses of the applicable individual shareholders of the VIEs,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them unconditionally and irrevocably agreed that the equity in the WFOE held by and registered in the name of such shareholder be disposed of in accordance with the exclusive business cooperation agreements, the exclusive option agreements, the equity pledge agreements, the powers of attorney, and the letters of confirmation and undertaking, and that such shareholder may perform, amend or terminate such agreements without his or her spouse’s consent. In addition, each of them agrees not to assert any rights over the equity interest in the VIEs held by his or her respective spouses. In the event that any of them obtains any equity interest in our VIEs held by their respective spouses for any reason, such spouses agree to be bound by similar obligations and agree to enter into similar contractual arrangements. These letters are effective during the term of the VIE agreements.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allow us to receive economic benefits from the VIEs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Exclusive Business Cooperation Agreements. </w:t>
      </w:r>
      <w:r>
        <w:rPr>
          <w:rFonts w:ascii="Times New Roman" w:cs="Times New Roman" w:eastAsia="Times New Roman" w:hAnsi="Times New Roman"/>
          <w:sz w:val="18"/>
          <w:szCs w:val="18"/>
          <w:color w:val="auto"/>
        </w:rPr>
        <w:t>Pursuant to the exclusive business cooperation agreements, among the WFOE and the VIEs,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WFOE has the exclusive right to provide the VIEs with comprehensive technological support and consulting services, including but not limited to software licensing, technology research and development, staff training and technology consultations. Without the WFOE’s prior written consent, the VIEs may not accept the same or similar service contemplated by the agreement provided by any third party during the term of the agreement. The VIEs agreed to pay the WFOE service fees, the amount of which will be subject to adjustment by the WFOE. The exclusive business cooperation agreement remains effective indefinitely except agreed otherwise or terminated by the WFOE in writing. Unless terminated by the WFOE in writing or pursuant to certain other provisions in the agreements, the exclusive business cooperation agreements are effective for an indefinite term.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provide us with the option to purchase the equity interest in the VIEs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Exclusive Option Agreements. </w:t>
      </w:r>
      <w:r>
        <w:rPr>
          <w:rFonts w:ascii="Times New Roman" w:cs="Times New Roman" w:eastAsia="Times New Roman" w:hAnsi="Times New Roman"/>
          <w:sz w:val="18"/>
          <w:szCs w:val="18"/>
          <w:color w:val="auto"/>
        </w:rPr>
        <w:t>Pursuant to the exclusive option agreements entered among the WFOE, the VIEs and their respective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the shareholders of the VIEs has irrevocably granted the WFOE, or any person or persons designated by the WFOE, an exclusive option to purchase all or part of the equity in the VIEs. The WFOE or person(s) designated by the WFOE may exercise such options to purchase equity in the VIEs at the lowest price permitted under laws of mainland China. The VIEs and their respective shareholders covenant that, without the WFOE’s prior written consent, they will not, among other things, (i) amend the VIEs’ articles of association, (ii) increase or decrease the VIEs’ registered capital or change its structure of registered capital, and (iii) sell, transfer, mortgage, or dispose of any assets of the VIEs’ that is more than US$50,000. The shareholders of the VIEs covenant that they will not create any pledge or encumbrance on their equity in the VIEs, other than those created under the equity pledge agreements as part of the contractual arrangements. The exclusive option agreements will be terminated when the entire equity interests in the VIEs have been transferred to our company or its designee(s).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opinion of Global Law Office, our PRC counsel:</w:t>
      </w:r>
    </w:p>
    <w:p>
      <w:pPr>
        <w:spacing w:after="0" w:line="225" w:lineRule="exact"/>
        <w:rPr>
          <w:sz w:val="20"/>
          <w:szCs w:val="20"/>
          <w:color w:val="auto"/>
        </w:rPr>
      </w:pPr>
    </w:p>
    <w:p>
      <w:pPr>
        <w:ind w:left="9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structures of the WFOE and the VIEs in mainland China are not in violation of mandatory laws and regulations of mainland China currently in effect in all material respects;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between the WFOE, the VIEs and the respective shareholders of the VIEs governed by laws of mainland China are not in violation of mandatory laws or regulations of mainland China currently in effect in all material respects, and valid and binding upon each party to such arrangements in accordance with their terms.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However, our PRC counsel has also advised us that the interpretation and application of current and future laws, regulations and rules of mainland China are evolving, and thus the regulatory authorities of mainland China may take a view that is contrary to the opinion of our PRC counsel. If the mainland China government finds that the contractual arrangements do not comply with the restrictions or prohibitions on foreign investment in certain sectors, or if the mainland China government otherwise finds that Yimutian Inc. or the VIEs are in violation of laws or regulations of mainland China or lack the necessary permits or licenses to operate our business, the regulatory authorities of mainland China would have discretion in dealing with such violations or failures. See “Item 3. Key Information—D. Risk Factors—Risks Related to Our Corporate Structure—Yimutian Inc. is a Cayman Islands holding company with no operations of its own and we currently conduct our operations in mainland China through our subsidiaries and the VIEs. Investors in our ADSs should note that they are purchasing equity interests in a Cayman Islands holding company rather than equity interests in the VIEs in mainland China. Given that there are uncertainties regarding the interpretation and application of current and future PRC laws, regulations, and rules relating to the agreements that establish the VIE structure for our operations in mainland China, including potential future actions by the mainland China government, if the mainland China government deems that our contractual arrangements with the VIEs do not comply with the laws of mainland China, or if regulations or interpretation of the existing regulations change in the future, we could be subject to penalties or be forced to relinquish our interests in the VIEs.” and “Item 3. Key Information—D. Risk Factors—Risks Related to Doing Business in Mainland China—We are subject to evolving laws and regulations of mainland China that could require us to modify our current business practices and incur increased costs, and the mainland China government’s oversight over our business operations could result in a material adverse change in our operations and the value of our Class A ordinary shares or ADSs.”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corporate headquarters is located in Beijing, with an aggregate gross floor area of approximately 2,154.03 square meters as of December 31, 2025. We have also leased offices in other cities in mainland China. As of December 31, 2025, we leased properties in mainland China with an aggregate gross floor area of approximately 5,438.45 square meters, primarily for office and business purposes. The terms of these leases are typically for one to three years, subject to renewal. We believe that our existing facilities are sufficient for our current needs, and we may need to obtain, usually by lease, adequate facilities to accommodate any future expansion plans as we further scale up our business operation.</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the related notes included elsewhere in this annual report. This report contains forward-looking statements that involve risks and uncertainties. Our actual results and the timing of selected events could differ materially from those anticipated in these forward-looking statements as a result of various factors, including those set forth under “Item 3. Key Information—D. Risk Factors” and elsewhere in this annual report. See “Forward-Looking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the largest agricultural B2B platform in mainland China, in terms of monthly active merchants in 2024, according to the F&amp;S Report. In facilitating transactions of agricultural products, we have the following main lines of business: (i) digital agricultural commerce services for efficient circulation of agricultural and food products, which are mainly offered via the Yimutian App, a versatile, merchant-friendly B2B e-commerce platform, complemented with offline, sales-assistance services via Douniu App, a platform matching offline transactions of agricultural products between sellers and wholesale buyers, (ii) agricultural sourcing and trading services that focus on reliable transaction services with sellers at cultivation and production sites and buyers with unmet or underserved demand, (iii) smart farming business, where we selectively cultivate produce based on our industry insights and (iv) other digital agricultural solutions, which primarily entail consulting, brand promotion and digital agricultural training programs. Our platform had over 39 million merchants as of December 31, 2025. In 2025, our platform facilitated approximately 103 million searches, 620 million calls and instant messages, and over 224 million potential transactions. As of December 31, 2025, the merchants presented approximately 22 million SKUs on our platform. Building upon our experience in transaction matching since our inception, we connected over 640,000 sellers and over 4.6 million buyers in 2025 in the agricultural product supply chain with precise, dynamic and up-to-date information related to agricultural product transactions. We further elevate merchant experiences with a full spectrum of services in advertising and client contact privilege via a suite of online tools.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2023, 2024 and 2025, our total revenues was RMB187.5 million, RMB161.3 million and RMB140.7 million (US$20.1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net loss of RMB105.6 million in 2023, RMB34.9 million in 2024 and RMB42.9 million (US$6.0 million) in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results of operations have been, and are expected to continue to be, affected by a number of general factors affecting the agricultural B2B industry in general, including without limitation:</w:t>
      </w:r>
    </w:p>
    <w:p>
      <w:pPr>
        <w:spacing w:after="0" w:line="162"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China’s overall economic growth and development, along with its digital economy transformation;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China’s agriculture industry and policy of China’s agriculture industry;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9" w:name="page110"/>
    <w:bookmarkEnd w:id="109"/>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agricultural production in China and inclement weather or natural disaster;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digitalization of China’s agriculture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China’s agricultural B2B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AI technology in China’s agricultural B2B industry;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landscape of China’s agricultural B2B industry and our market position therein.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unfavorable changes on these general industry conditions could affect demand for our services and products and materially affect our results of operations. While our business is affected by general factors affecting the agriculture industry, specifically the agricultural B2B industry, we believe our results of operations are affected by a number of company specific factors, including the key factors as discussed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our large and active merchant base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large and active merchant base has been key to our success, as membership fees charged to our paying merchants and transaction service fees charged for transaction facilitation services are among the main sources of our revenue. Our deep understanding in mainland China’s agricultural B2B market and insights accumulated through our decade of operations have helped us gained trust from both sellers and buyers involved in agricultural transactions. We believe annual paying merchants as a percentage of active merchants is a key operating metric to measure our loyal and active merchant base and reflect our monetization ability. This percentage decreased from 15.4% in 2023 to 12.6% in 2024. The decrease in this percentage in 2024 was primarily due to our strategic decision to remove certain paid features in order to further improve the platform’s functionality and user experience. We believe this adjustment has made our services more accessible and attractive to a broader base of merchants, supporting our long-term growth objectives. This percentage decreased from 12.6% in 2024 to 11.3% in 2025. The number of paying merchants for a certain period refers to the number of merchants that have paid for our services in such period. The number of active merchants for a certain period refers to the number of merchants that have been active on our platform in such period. Whether we can continue to grow our paying merchants as a percentage of monthly active merchants mainly depends on our ability to provide superior merchant experience. To this end, we expect to continue to focus on providing customized merchant experience through extending the depth and breadth of our knowledge graph and technologies in general, which fuel our recommendation and matching capabilities, and further expanding our service and product offerings that meet the evolving needs of merchants on our platforms.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improve and expand service offerings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been in the forefront of innovation of agricultural commerce business, expanding our offerings from multiple aspects. Our digital agricultural commerce services have evolved from merely matching buyers and sellers online to more diverse services covering sales-assistance services connecting sellers with wholesale stallholders offline and various value-added services for promotion. We typically attract and accumulate paying merchants through value-added services, such as advertising service, offered on our platform. As some merchants achieve higher sales of products benefiting from such value-added services on our platform, they turn to subscribe for membership of our flagship product which provides a suite of online tools to further help merchants boost their sales, such as hosting premium storefronts on our platform. The paying merchants of our flagship product, who mainly receive our services on an annual basis, on average spent RMB6,062 (US$867) in 2025. Such paying merchants on average spent approximately RMB5,243 in 2024 and RMB5,352 in 2023. We believe that there is a significant opportunity for cross-selling more of our digital agricultural commerce services to our existing paying merchants. We see great potential to further monetize our merchant base, and we plan to continue fine-tuning and expand our service offerings with new value-added services for marketing and improving merchant engagement.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and increase cooperation with business partners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to launch new business initiatives to penetrate deeper in the agricultural product supply chain. The success of such business initiatives not only relies on market insights and technology capabilities, but also depends on our continued collaboration with local agricultural producers and processors from cultivation and production sites and buyers with regional or bulk procurement capacities in both online and offline environment. We intend to deepen our business relationships with existing market participants in the agricultural product supply chain and build relationships with additional market participants with cultivation at scale or bulk procurement capacities. We believe that business partners will choose to cooperate with us because of our deep understanding of the agriculture industry, strong reputation and broad network of merchants on our Apps.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promote our brands and market our services and products more effectively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one-stop platform, with a wide variety of services and products offered thereon and positive merchant experience, makes us a reputable brand, and is our best and most effective marketing tools. In 2023, 2024 and 2025, we acquired over 42% of new merchants on our platform through word-of-mouth marketing, thanks to our reputable and trusted brand. Despite the acquisition cost of such merchants is close to nil, such merchants contribute great value to our business. They often interact with our platform over a long-term and spend more time on our platform than merchants acquired via other means. Besides word-of-mouth marketing, we also invest in branding, marketing and promotional activities. We plan to continue building our brand by enhancing merchant experience on our platform and enhancing efficiency in our selling and marketing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continue making investments in technology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dedication to technological advancements runs deep in our DNA, evident through our substantial investments in technology since our inception. We aim to provide more accurate and intelligent matching, as well as sales and marketing services, to merchants, enabling them to offer and procure high-quality products through secure, responsive, and scalable infrastructure and applications, thus further improving their transaction experience and efficiency. We expect to continue to invest in research and development in areas such as big data analysis, cloud computing, and other technologies, as well as in talent acquisition and retention.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enhance our operating efficiency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results of operations are affected by our ability to control our operating costs and expenses. We expect to achieve greater efficiency in managing our costs and expenses. We believe our nationwide coverage, coupled with the network effect of our platform, will allow us to benefit more from substantial economies of scale. The staff cost and cloud service fees associated with the operation of our platform are expected to increase at a slower pace as our revenue growth, because most of our employees are working remotely from the production sites and wholesale markets, and we do not need to increase the size of our overall workforce proportionally with our business growth as we optimize human resource efficiency at the headquarters. As our business further grows, we believe we will be able to take advantage of economies of scale to further improve operating efficiency and achieve profitability over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2023, 2024 and 2025, we generated revenue from providing digital agricultural commerce services and other digital agricultural solutions. The following table breaks down our revenues by amounts and as percentages of total revenues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0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RMB</w:t>
            </w:r>
          </w:p>
        </w:tc>
        <w:tc>
          <w:tcPr>
            <w:tcW w:w="7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RMB</w:t>
            </w:r>
          </w:p>
        </w:tc>
        <w:tc>
          <w:tcPr>
            <w:tcW w:w="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RMB</w:t>
            </w:r>
          </w:p>
        </w:tc>
        <w:tc>
          <w:tcPr>
            <w:tcW w:w="11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US$</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(in thousands, except percentage)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agricultural commerce services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170,921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152,606</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135,332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19,352</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Membership services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99,924</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95,589</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84,821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12,129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Value-added services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65,850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52,712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47,755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6,829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Transaction services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5,147</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4,305</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digital agricultural solutions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16,602</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8,715</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761</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vMerge w:val="continue"/>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187,523</w:t>
            </w:r>
          </w:p>
        </w:tc>
        <w:tc>
          <w:tcPr>
            <w:tcW w:w="2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161,321</w:t>
            </w:r>
          </w:p>
        </w:tc>
        <w:tc>
          <w:tcPr>
            <w:tcW w:w="2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140,655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20,113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 of revenues consists of (i) staff cost and outsourcing labor service fees, (ii) technology service fees charged by cloud service providers, and (iii) depreciation.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cost of revenues by nature, both in absolute amount and as a percentage of total revenues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RMB</w:t>
            </w:r>
          </w:p>
        </w:tc>
        <w:tc>
          <w:tcPr>
            <w:tcW w:w="7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RMB</w:t>
            </w:r>
          </w:p>
        </w:tc>
        <w:tc>
          <w:tcPr>
            <w:tcW w:w="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RMB</w:t>
            </w:r>
          </w:p>
        </w:tc>
        <w:tc>
          <w:tcPr>
            <w:tcW w:w="11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US$</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(in thousands, except percentage)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 cost and outsourcing labor service fees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28,705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18,538</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11,111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Technology service fees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6,587</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4,482</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13,956</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7,553</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10,399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vMerge w:val="continue"/>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49,248</w:t>
            </w:r>
          </w:p>
        </w:tc>
        <w:tc>
          <w:tcPr>
            <w:tcW w:w="2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26.3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30,573</w:t>
            </w:r>
          </w:p>
        </w:tc>
        <w:tc>
          <w:tcPr>
            <w:tcW w:w="2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21,604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3,089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recorded gross profit of RMB138.3 million, RMB130.7 million and RMB119.1 million (US$17.0 million) in 2023, 2024 and 2025, respectively. Our overall gross margin was 73.7% in 2023, 81.0% in 2024 and 84.6% in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operating expenses mainly consist of (i) selling and marketing expenses, (ii) general and administrative expenses, and (iii) research and development expenses. The following table sets forth the components of our operating expenses, both in absolute amount and as a percentage of total revenues for the periods indicated.</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marketing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80" w:type="dxa"/>
            <w:vAlign w:val="bottom"/>
            <w:tcBorders>
              <w:top w:val="single" w:sz="8" w:color="auto"/>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2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138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RMB</w:t>
            </w:r>
          </w:p>
        </w:tc>
        <w:tc>
          <w:tcPr>
            <w:tcW w:w="7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RMB</w:t>
            </w:r>
          </w:p>
        </w:tc>
        <w:tc>
          <w:tcPr>
            <w:tcW w:w="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RMB</w:t>
            </w:r>
          </w:p>
        </w:tc>
        <w:tc>
          <w:tcPr>
            <w:tcW w:w="1100" w:type="dxa"/>
            <w:vAlign w:val="bottom"/>
            <w:tcBorders>
              <w:bottom w:val="single" w:sz="8" w:color="auto"/>
            </w:tcBorders>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US$</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r>
      <w:tr>
        <w:trPr>
          <w:trHeight w:val="238"/>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20" w:type="dxa"/>
            <w:vAlign w:val="bottom"/>
            <w:gridSpan w:val="7"/>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(in thousands, except percentage)</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1"/>
        </w:trPr>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(94,647)</w:t>
            </w:r>
          </w:p>
        </w:tc>
        <w:tc>
          <w:tcPr>
            <w:tcW w:w="220" w:type="dxa"/>
            <w:vAlign w:val="bottom"/>
          </w:tcPr>
          <w:p>
            <w:pPr>
              <w:spacing w:after="0"/>
              <w:rPr>
                <w:sz w:val="24"/>
                <w:szCs w:val="24"/>
                <w:color w:val="auto"/>
              </w:rPr>
            </w:pPr>
          </w:p>
        </w:tc>
        <w:tc>
          <w:tcPr>
            <w:tcW w:w="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(50.5)</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(87,618)</w:t>
            </w:r>
          </w:p>
        </w:tc>
        <w:tc>
          <w:tcPr>
            <w:tcW w:w="220" w:type="dxa"/>
            <w:vAlign w:val="bottom"/>
          </w:tcPr>
          <w:p>
            <w:pPr>
              <w:spacing w:after="0"/>
              <w:rPr>
                <w:sz w:val="24"/>
                <w:szCs w:val="24"/>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(54.3)</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(77,459)</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(11,076)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(96,712)</w:t>
            </w:r>
          </w:p>
        </w:tc>
        <w:tc>
          <w:tcPr>
            <w:tcW w:w="220" w:type="dxa"/>
            <w:vAlign w:val="bottom"/>
          </w:tcPr>
          <w:p>
            <w:pPr>
              <w:spacing w:after="0"/>
              <w:rPr>
                <w:sz w:val="18"/>
                <w:szCs w:val="18"/>
                <w:color w:val="auto"/>
              </w:rPr>
            </w:pPr>
          </w:p>
        </w:tc>
        <w:tc>
          <w:tcPr>
            <w:tcW w:w="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(51.6)</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(39,564)</w:t>
            </w:r>
          </w:p>
        </w:tc>
        <w:tc>
          <w:tcPr>
            <w:tcW w:w="22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(24.5)</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(58,764)</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(8,403)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30"/>
        </w:trPr>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(47,453)</w:t>
            </w:r>
          </w:p>
        </w:tc>
        <w:tc>
          <w:tcPr>
            <w:tcW w:w="220" w:type="dxa"/>
            <w:vAlign w:val="bottom"/>
          </w:tcPr>
          <w:p>
            <w:pPr>
              <w:spacing w:after="0"/>
              <w:rPr>
                <w:sz w:val="19"/>
                <w:szCs w:val="19"/>
                <w:color w:val="auto"/>
              </w:rPr>
            </w:pPr>
          </w:p>
        </w:tc>
        <w:tc>
          <w:tcPr>
            <w:tcW w:w="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(25.3)</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(37,811)</w:t>
            </w:r>
          </w:p>
        </w:tc>
        <w:tc>
          <w:tcPr>
            <w:tcW w:w="220" w:type="dxa"/>
            <w:vAlign w:val="bottom"/>
          </w:tcPr>
          <w:p>
            <w:pPr>
              <w:spacing w:after="0"/>
              <w:rPr>
                <w:sz w:val="19"/>
                <w:szCs w:val="19"/>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(23.4)</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(29,596)</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(4,232)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1"/>
        </w:trPr>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823</w:t>
            </w:r>
          </w:p>
        </w:tc>
        <w:tc>
          <w:tcPr>
            <w:tcW w:w="220" w:type="dxa"/>
            <w:vAlign w:val="bottom"/>
          </w:tcPr>
          <w:p>
            <w:pPr>
              <w:spacing w:after="0"/>
              <w:rPr>
                <w:sz w:val="20"/>
                <w:szCs w:val="20"/>
                <w:color w:val="auto"/>
              </w:rPr>
            </w:pP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0.4</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Pr>
          <w:p>
            <w:pPr>
              <w:spacing w:after="0"/>
              <w:rPr>
                <w:sz w:val="20"/>
                <w:szCs w:val="20"/>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4,988</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20"/>
                <w:szCs w:val="20"/>
                <w:color w:val="auto"/>
              </w:rPr>
            </w:pPr>
          </w:p>
        </w:tc>
      </w:tr>
      <w:tr>
        <w:trPr>
          <w:trHeight w:val="250"/>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(237,989</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(126.9</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(164,775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(102.1</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(160,831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(22,998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-770890</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-496570</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-205105</wp:posOffset>
            </wp:positionV>
            <wp:extent cx="7132320" cy="179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2780" w:space="720"/>
            <w:col w:w="7740"/>
          </w:cols>
          <w:pgMar w:left="320" w:top="333"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Selling and marketing expenses. </w:t>
      </w:r>
      <w:r>
        <w:rPr>
          <w:rFonts w:ascii="Times New Roman" w:cs="Times New Roman" w:eastAsia="Times New Roman" w:hAnsi="Times New Roman"/>
          <w:sz w:val="18"/>
          <w:szCs w:val="18"/>
          <w:color w:val="auto"/>
        </w:rPr>
        <w:t>Our selling and marketing expenses consist primarily of (i) staff cost related to selling and marketing personnel,</w:t>
      </w:r>
    </w:p>
    <w:p>
      <w:pPr>
        <w:spacing w:after="0" w:line="29" w:lineRule="exact"/>
        <w:rPr>
          <w:sz w:val="20"/>
          <w:szCs w:val="20"/>
          <w:color w:val="auto"/>
        </w:rPr>
      </w:pPr>
    </w:p>
    <w:p>
      <w:pPr>
        <w:jc w:val="both"/>
        <w:ind w:firstLine="8"/>
        <w:spacing w:after="0" w:line="255" w:lineRule="auto"/>
        <w:tabs>
          <w:tab w:leader="none" w:pos="27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expenses, and (iii) depreciation, rental and other expenses related to selling and marketing functions. We expect our sales and marketing expenses on an absolute dollar basis and as a percentage of revenues to vary from period to period over the short term, depending on the number of selling and marketing employees we are going to hire and spendings on marketing activities.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Our general and administrative expenses consist primarily of (i) share-based compensation expenses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ordinary shares issuance, (ii) staff cost relating to general and administrative personnel, (iii) professional service fees, and (iv) other general corporate expenses. We expect our general and administrative expenses to increase in the near term as we incur additional costs as a result of operating as a public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Our research and development expenses consist of (i) staff cost relating to research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professionals and (ii) rental, depreciation and other expenses related to research and development functions. We expect that our research and development expenses on an absolute dollar basis and as a percentage of revenues to vary from period to period over the short term, depending on the number of research and development employees we are going to hire.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incorporated in the Cayman Islands. Under the current tax laws of the Cayman Islands, we are not subject to tax on our income or capital gains. In addition, payments of dividends and capital in respect of our shares are not subject to taxation, and no withholding will be required in the Cayman Islands on the payment of any dividend or capital to any holder of our shares, nor will gains derived from the disposal of our shares be subject to the Cayman Islands income or corporate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wholly owned subsidiaries in Hong Kong are subject to Hong Kong profits tax on their taxable income generated from operations in Hong Kong. Under the two-tiered profits tax rates regime in Hong Kong, the first HK$2 million of profits of the qualifying group entity will be taxed at 8.25%, and profits above HK$2 million will be taxed at 16.5%. Payments of dividends by our subsidiaries to our company are not subject to any withholding tax in Hong Kong.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Mainland China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subsidiaries in mainland China, the VIEs and the VIE’s subsidiaries that were established in mainland China are subject to PRC Enterprise Income Tax Law, or the PRC EIT Law, on the taxable income, which have adopted a unified income tax rate of 25%, except for high and new technology enterprises, which are subject to a preferential income tax rate of 15%, and small enterprises with low profits, which are subject to a preferential income tax rate of 20%.</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Beijing Yimutian, Yimutian Xinnong and Beijing Douniu were recognized as high and new technology enterprises. As such, they are entitled to a preferential income tax rate at 15% from 2024 to 2025.</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subject to VAT on the products sold and services provided. We are also subject to surcharges on VAT payments in accordance with the laws of mainland China.</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Cayman Islands holding company, we may receive dividends from our subsidiaries in mainland China through Yimutian HK. The PRC EIT Law and its implementing rules provide that dividends paid by a mainland China entity to a nonresident enterprise for income tax purposes is subject to mainland China withholding tax at a rate of 10%, and may be subject to reduction by an applicable tax treaty with China. Pursuant to the Arrangement between the Mainland of China and the Hong Kong Special Administrative Region for the Avoidance of Double Taxation and the Prevention of Fiscal Evasion with respect to Taxes on Income, the withholding tax rate in respect to the payment of dividends by a mainland China enterprise to a Hong Kong enterprise may be reduced to 5% from a standard rate of 10% if the Hong Kong enterprise (i) directly holds at least 25% of the mainland China enterprise,</w:t>
      </w:r>
    </w:p>
    <w:p>
      <w:pPr>
        <w:spacing w:after="0" w:line="5" w:lineRule="exact"/>
        <w:rPr>
          <w:sz w:val="20"/>
          <w:szCs w:val="20"/>
          <w:color w:val="auto"/>
        </w:rPr>
      </w:pPr>
    </w:p>
    <w:p>
      <w:pPr>
        <w:jc w:val="both"/>
        <w:ind w:firstLine="8"/>
        <w:spacing w:after="0" w:line="251" w:lineRule="auto"/>
        <w:tabs>
          <w:tab w:leader="none" w:pos="26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tax resident in Hong Kong and (iii) could be recognized as a beneficial owner of the dividend from mainland China tax perspective. Pursuant to the Notice on Certain Issues with Respect to the Enforcement of Dividend Provisions in Tax Treaties, or Guoshuihan [2009] 81,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mainland China resident enterprise throughout the 12 months prior to receiving the dividends. In October 2019, the SAT issued Announcement of the State Taxation Administration on Issuing the Measures for Non-resident Taxpayers’ Enjoyment of Treaty Benefits, or SAT Circular 35, which became effective on January 1, 2020. SAT Circular 35 provides that nonresident enterprises are not required to obtain pre-approval from the tax authorities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tax authorities. Accordingly, Yimutian HK may be able to benefit from the 5% withholding tax rate for the dividends it receives from its mainland China subsidiaries, if it satisfies the conditions prescribed under Guoshuihan [2009] 81 and other tax rules and regulations. However, according to Guoshuihan [2009] 81 and SAT Circular 35, if the tax authorities consider the transactions or arrangements we have are for the primary purpose of enjoying a favorable tax treatment, the tax authorities may adjust the favorable withholding tax in the future.</w:t>
      </w:r>
    </w:p>
    <w:p>
      <w:pPr>
        <w:spacing w:after="0" w:line="19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of mainland China were deemed to be a “resident enterprise” under the PRC EIT Law, it would be subject to enterprise income tax on its worldwide income at a rate of 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both in absolute amount and as a percentage of total revenues for the periods indicated. This information should be read together with our consolidated financial statements and related notes included elsewhere in this annual report. We believe that the period-to-period comparison of operating results should not be relied upon as being indicative of future performance.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7"/>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50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RMB</w:t>
            </w:r>
          </w:p>
        </w:tc>
        <w:tc>
          <w:tcPr>
            <w:tcW w:w="7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RMB</w:t>
            </w:r>
          </w:p>
        </w:tc>
        <w:tc>
          <w:tcPr>
            <w:tcW w:w="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RMB</w:t>
            </w:r>
          </w:p>
        </w:tc>
        <w:tc>
          <w:tcPr>
            <w:tcW w:w="1100" w:type="dxa"/>
            <w:vAlign w:val="bottom"/>
            <w:tcBorders>
              <w:bottom w:val="single" w:sz="8" w:color="auto"/>
            </w:tcBorders>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US$</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7"/>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(in thousands, except percentage)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187,523</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161,321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140,655</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20,113</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(49,248)</w:t>
            </w:r>
          </w:p>
        </w:tc>
        <w:tc>
          <w:tcPr>
            <w:tcW w:w="220" w:type="dxa"/>
            <w:vAlign w:val="bottom"/>
          </w:tcPr>
          <w:p>
            <w:pPr>
              <w:spacing w:after="0"/>
              <w:rPr>
                <w:sz w:val="20"/>
                <w:szCs w:val="20"/>
                <w:color w:val="auto"/>
              </w:rPr>
            </w:pPr>
          </w:p>
        </w:tc>
        <w:tc>
          <w:tcPr>
            <w:tcW w:w="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(26.3)</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(30,573)</w:t>
            </w:r>
          </w:p>
        </w:tc>
        <w:tc>
          <w:tcPr>
            <w:tcW w:w="22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(19.0)</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(21,604)</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(3,089)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138,275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130,748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119,051</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17,024</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(94,647)</w:t>
            </w:r>
          </w:p>
        </w:tc>
        <w:tc>
          <w:tcPr>
            <w:tcW w:w="220" w:type="dxa"/>
            <w:vAlign w:val="bottom"/>
          </w:tcPr>
          <w:p>
            <w:pPr>
              <w:spacing w:after="0"/>
              <w:rPr>
                <w:sz w:val="18"/>
                <w:szCs w:val="18"/>
                <w:color w:val="auto"/>
              </w:rPr>
            </w:pPr>
          </w:p>
        </w:tc>
        <w:tc>
          <w:tcPr>
            <w:tcW w:w="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(50.5)</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(87,618)</w:t>
            </w:r>
          </w:p>
        </w:tc>
        <w:tc>
          <w:tcPr>
            <w:tcW w:w="22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(54.3)</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(77,459)</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(11,076)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(96,712)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(51.6)</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(39,564)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(24.5)</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(58,764)</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(8,403)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(47,453)</w:t>
            </w:r>
          </w:p>
        </w:tc>
        <w:tc>
          <w:tcPr>
            <w:tcW w:w="220" w:type="dxa"/>
            <w:vAlign w:val="bottom"/>
          </w:tcPr>
          <w:p>
            <w:pPr>
              <w:spacing w:after="0"/>
              <w:rPr>
                <w:sz w:val="18"/>
                <w:szCs w:val="18"/>
                <w:color w:val="auto"/>
              </w:rPr>
            </w:pPr>
          </w:p>
        </w:tc>
        <w:tc>
          <w:tcPr>
            <w:tcW w:w="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(25.3)</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(37,811)</w:t>
            </w:r>
          </w:p>
        </w:tc>
        <w:tc>
          <w:tcPr>
            <w:tcW w:w="22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(23.4)</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(29,596)</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(4,232)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823</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0.4</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4,988</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713</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vMerge w:val="continue"/>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(99,714)</w:t>
            </w:r>
          </w:p>
        </w:tc>
        <w:tc>
          <w:tcPr>
            <w:tcW w:w="2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01"/>
              <w:spacing w:after="0" w:line="203" w:lineRule="exact"/>
              <w:rPr>
                <w:sz w:val="20"/>
                <w:szCs w:val="20"/>
                <w:color w:val="auto"/>
              </w:rPr>
            </w:pPr>
            <w:r>
              <w:rPr>
                <w:rFonts w:ascii="Times New Roman" w:cs="Times New Roman" w:eastAsia="Times New Roman" w:hAnsi="Times New Roman"/>
                <w:sz w:val="18"/>
                <w:szCs w:val="18"/>
                <w:b w:val="1"/>
                <w:bCs w:val="1"/>
                <w:color w:val="auto"/>
              </w:rPr>
              <w:t>(53.2)</w:t>
            </w: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(34,027)</w:t>
            </w:r>
          </w:p>
        </w:tc>
        <w:tc>
          <w:tcPr>
            <w:tcW w:w="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61"/>
              <w:spacing w:after="0" w:line="203" w:lineRule="exact"/>
              <w:rPr>
                <w:sz w:val="20"/>
                <w:szCs w:val="20"/>
                <w:color w:val="auto"/>
              </w:rPr>
            </w:pPr>
            <w:r>
              <w:rPr>
                <w:rFonts w:ascii="Times New Roman" w:cs="Times New Roman" w:eastAsia="Times New Roman" w:hAnsi="Times New Roman"/>
                <w:sz w:val="18"/>
                <w:szCs w:val="18"/>
                <w:b w:val="1"/>
                <w:bCs w:val="1"/>
                <w:color w:val="auto"/>
              </w:rPr>
              <w:t>(21.1)</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(41,780)</w:t>
            </w:r>
          </w:p>
        </w:tc>
        <w:tc>
          <w:tcPr>
            <w:tcW w:w="220" w:type="dxa"/>
            <w:vAlign w:val="bottom"/>
            <w:vMerge w:val="continue"/>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(5,974)</w:t>
            </w:r>
          </w:p>
        </w:tc>
        <w:tc>
          <w:tcPr>
            <w:tcW w:w="220" w:type="dxa"/>
            <w:vAlign w:val="bottom"/>
            <w:vMerge w:val="continue"/>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(29.7)</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a long-term investment</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0.01</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0.01</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(0.1)</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(964)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(0.6)</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(1,088)</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financial liabilities</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(3,728)</w:t>
            </w:r>
          </w:p>
        </w:tc>
        <w:tc>
          <w:tcPr>
            <w:tcW w:w="220" w:type="dxa"/>
            <w:vAlign w:val="bottom"/>
          </w:tcPr>
          <w:p>
            <w:pPr>
              <w:spacing w:after="0"/>
              <w:rPr>
                <w:sz w:val="18"/>
                <w:szCs w:val="18"/>
                <w:color w:val="auto"/>
              </w:rPr>
            </w:pPr>
          </w:p>
        </w:tc>
        <w:tc>
          <w:tcPr>
            <w:tcW w:w="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(2.0)</w:t>
            </w:r>
          </w:p>
        </w:tc>
        <w:tc>
          <w:tcPr>
            <w:tcW w:w="13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derecognition of financial liabilities</w:t>
            </w: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(1,953)</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7"/>
        </w:trPr>
        <w:tc>
          <w:tcPr>
            <w:tcW w:w="350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Loss before income taxes and share of loss</w:t>
            </w:r>
          </w:p>
        </w:tc>
        <w:tc>
          <w:tcPr>
            <w:tcW w:w="9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 equity method investment</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(105,583)</w:t>
            </w:r>
          </w:p>
        </w:tc>
        <w:tc>
          <w:tcPr>
            <w:tcW w:w="220" w:type="dxa"/>
            <w:vAlign w:val="bottom"/>
          </w:tcPr>
          <w:p>
            <w:pPr>
              <w:spacing w:after="0"/>
              <w:rPr>
                <w:sz w:val="20"/>
                <w:szCs w:val="20"/>
                <w:color w:val="auto"/>
              </w:rPr>
            </w:pPr>
          </w:p>
        </w:tc>
        <w:tc>
          <w:tcPr>
            <w:tcW w:w="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(56.3)</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(34,979)</w:t>
            </w:r>
          </w:p>
        </w:tc>
        <w:tc>
          <w:tcPr>
            <w:tcW w:w="22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(21.7)</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(42,859)</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(6,129)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of an equity method investment</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0"/>
                <w:szCs w:val="20"/>
                <w:color w:val="auto"/>
              </w:rPr>
            </w:pPr>
          </w:p>
        </w:tc>
        <w:tc>
          <w:tcPr>
            <w:tcW w:w="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(0.02)</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0"/>
                <w:szCs w:val="20"/>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0.02</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(105,621</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(56.3</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(34,941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(42,859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revenues decreased by 12.8% from RMB161.3 million in 2024 to RMB140.7 million (US$20.1 million) in 2025.</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 from digital agricultural commerce services decreased by 11.3% from RMB152.6 million in 2024 to RMB135.3 million (US$19.4 million) in 2025, primarily due to a decline in revenue from membership services and a decline in revenue from value-added services. Membership revenue declined in 2025 as we strategically prioritized our agricultural sourcing and trading business, reallocating resources and budgets to accelerate our retail network expansion in key production regions. This shift resulted in reduced investments in the digital agricultural commerce business, leading to a temporary decrease in related revenue. In addition, revenue from value-added services decreased, mainly attributable to our user experience enhancement initiatives, which included eliminating certain small-item fees.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 from other digital agricultural solutions decreased by 38.9% from RMB8.7 million in 2024 to RMB5.3 million (US$761 thousand) in 2025, primarily due to government-related projects have decreased.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cost of revenues decreased by 29.3% from RMB30.6 million in 2024 to RMB21.6 million (US$3.1 million) in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foregoing, our gross profit decreased from RMB130.7 million in 2024 to RMB119.1 million (US$17.0 million) in 2025. Our gross margin increased from 81.0% in 2024 to 84.6% in 2025, which was primarily due to the decrease in our staff cost related to cost of revenues and decrease in our total revenues for the reasons discussed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selling and marketing expenses decreased by 11.6% from RMB87.6 million in 2024 to RMB77.5 million (US$11.1 million) in 2025, primarily due to decrease in advertising and promotion expenses and a decrease in staff cost related to selling and marketing personnel.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increased by 48.5% from RMB39.6 million in 2024 to RMB58.8 million (US$8.4 million) in 2025, primarily due to the Company’s listing on August 19, 2025, which led to an increase in listing-related consulting fees.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decreased by 21.7% from RMB37.8 million in 2024 to RMB29.6 million (US$4.2 million) in 2025, primarily due to a decrease in staff cost relating to research and development professionals in connection with the reduced research and development workforce.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of Gain of Equity Method Investments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Share of gain of equity method investments was RMB38 thousand in 2024 due to the company discontinued its investment and recovery of the invested capital. Share of gain of equity method investments was nil in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the foregoing, our net loss increased by 22.7% from RMB34.9 million in 2024 to RMB42.9 million (US$6.1 million) in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revenues decreased by 14.0% from RMB187.5 million in 2023 to RMB161.3 million in 2024.</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from digital agricultural commerce services decreased by 10.7% from RMB170.9 million in 2023 to RMB152.6 million in 2024, primarily due to the fact that to comply with regulations, the short video feature was disabled, resulting in a decline in monthly active users and business conversion rates.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 from other digital agricultural solutions decreased by 47.5% from RMB16.6 million in 2023 to RMB8.7 million in 2024, primarily due to government-related projects have decreased.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cost of revenues decreased by 37.9% from RMB49.2 million in 2023 to RMB30.6 million in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foregoing, our gross profit decreased from RMB138.3 million in 2023 to RMB130.7 million in 2024. Our gross margin increased from 73.7% in 2023 to 81.0% in 2024, which was primarily due to the decrease in our staff cost related to cost of revenues and decrease in our total revenues for the reasons discussed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selling and marketing expenses decreased by 7.4% from RMB94.6 million in 2023 to RMB87.6 million in 2024, primarily due to a decrease in advertising and promotion expenses and a decrease in staff cost related to selling and marketing personnel.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decreased by 59.1% from RMB96.7 million in 2023 to RMB39.6 million in 2024, primarily due to the increase of share-based compensation expenses related to awards granted to certain directors and management personnel of our company in 2023 and decrease in staff cost.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decreased by 20.3% from RMB47.5 million in 2023 to RMB37.8 million in 2024, primarily due to our reduction in the research and development workforce associated with operations that were in the trial-and-error stage and decrease in staff cost.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Financial Liabilities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Change in fair value of financial liabilities amounted to RMB3.7 million and nil in 2023 and 2024, respectively. It was included overseas direct investment (ODI) convertible loans and exchangeable notes, at their fair value at upon conversion.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Derecognition of Financial Liabilities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conversion of ODI convertible loans and exchangeable notes, we recognized loss of RMB2.0 million and nil from derecognition of financial liabilities in 2023 and 2024, respectively, which represented the cumulative amount of the gain or loss previously recorded in other comprehensive loss resulted from changes in instrument-specific credit risk of the ODI convertible loans and the exchangeable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of (Loss) Gain of Equity Method Investments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 of loss of equity method investments was RMB38 thousand in 2023 due to our investment loss in certain other investees which investments occurred in March and September 2023. Share of gain of equity method investments was RMB38 thousand in 2024 due to the company discontinued its investment and recovery of the invested capital.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the foregoing, our net loss decreased by 66.9% from RMB105.6 million in 2023 to RMB34.9 million in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6" w:name="page117"/>
    <w:bookmarkEnd w:id="116"/>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and working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2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Borders>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(17,956)</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(61,439)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(49,179)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(7,032)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(3,230)</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(850)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18,545</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60,368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152,288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22,206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(2,856)</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(1,057)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106,714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15,260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6,685</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3,829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w:t>
            </w: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year</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3,829</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109,486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15,656</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To date, we have financed our operating and investing activities primarily through cash provided by historical equity and debt financing activities, including issuance of financial liabilities convertible into preferred shares. As of December 31, 2023, 2024 and 2025, we had RMB3.8 million, RMB2.8 million and RMB109.5 million (US$15.7 million) in cash and cash equivalents, respectively. Our cash consists primarily of cash on hand and cash at bank.</w:t>
      </w:r>
    </w:p>
    <w:p>
      <w:pPr>
        <w:spacing w:after="0" w:line="4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experienced recurring operating losses. For the years ended December 31, 2023, 2024 and 2025, we had net cash used in operating activities of RMB18.0 million, RMB61.4 million and RMB49.2 million (US$7.0 million) respectively. As of December 31, 2023, 2024 and 2025, we had net current liabilities of RMB227.8 million, RMB432.2 million and RMB155.7 million (US$22.3 million), respectively. We will require additional liquidity to continue our operations over the next 12 months. We may need additional cash resources in the future if we experience changes in business conditions or other developments. We may also need additional cash resources in the future if we identify and wish to pursue opportunities for investment, acquisition, capital expenditure or similar actions. We are evaluating strategies to obtain the required additional funding for future operations. These strategies may include, but are not limited to, obtaining equity financing, issuing debt or entering into other financing arrangements, obtaining agreements with the existing investors to extend the due dates for outstanding debt. In 2024 and 2025, we borrowed interest free loans in the total amount of RMB28.3 million and RMB28.9 million (US$4.1 million) from our founder, respectively. In addition, we plan to diversify revenue streams, such as operating our newly launched agricultural sourcing and trading business, and implement cost saving measures to grow revenues and decrease expenses. However, we may be unable to access further equity or debt financing when needed. As such, there can be no assurance that we will be able to obtain additional liquidity when needed or under acceptable terms, if at all. See “Item 3. Key Information—D. Risk Factors—Risks Related to Our Business and Industry—Our operating cash outflow, net current liabilities, and preferred shareholder redemption rights raise substantial doubt about our ability to continue as a going concern.” and “Item 3. Key Information—D. Risk Factors—Risks Related to Our Business and Industry—We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34.7% and 65.3% of our cash and cash equivalents were held in and outside of mainland China, respectively, with 0.4% of our cash and cash equivalents being held by the VIEs. Although we consolidate the results of the VIEs, we only have access to the assets or earnings of the VIE through our contractual arrangements with the VIEs and their shareholders. See “Item 4. Information on the Company—C. Organizational Structure—Contractual Arrangements and the VIEs.” For restrictions and limitations on liquidity and capital resources as a result of our corporate structure, see “—Holding Company Structure.”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7" w:name="page118"/>
    <w:bookmarkEnd w:id="11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accounts receivable primarily represent receivable for other digital agricultural solutions. As of December 31, 2023, 2024 and 2025, our accounts receivable, net of allowance for credit losses, was RMB139.0 thousand, RMB733.0 thousand and RMB945.0 thousand (US$135 thousand), respectively. The increase in accounts receivable, net of allowance for credit losses was primarily due to the customary settlement periods for certain downstream customers at year-end in connection with our sales of certain agricultural products at year-end in response to favorable market conditions. As of the same dates, our amounts due from related parties was RMB11.3 million, RMB3.4 million and RMB3.4 million (US$480 thousand), respectively. Our accounts receivable turnover days decreased from 48 days in 2023 to 18 days in 2024, mainly due to our more stringent collection effort from 2023 to 2024, and increased to 58 days in 2025, mainly attributable to the significant year-over-year increase in sales during the fourth quarter, which led to a large balance of accounts receivable that were still within their credit period at year end. The aging of accounts receivable balances was considered when estimating the allowance of credit loss. Accounts receivable turnover days for a given period are equal to the sum of the average balances of accounts receivable at the beginning and the end of the period divided by revenue from other digital agricultural solutions during the period and multiplied by the number of days during the same period.</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accounts payable primarily consists of accounts payable for cloud service. As of December 31, 2023, 2024 and 2025, our accounts payable was RMB3.3 million, RMB4.4 million and RMB5.2 million (US$745 thousand), respectively. Our accounts payable turnover days increased from 23 days in 2023 to 46 days in 2024, and increased to 81 days in 2025, primarily due to our establishment of long-term relationships with trusted suppliers. Accounts payable turnover days for a given period are equal to average accounts payable balances at the beginning and the end of the period divided by total cost of revenues during the period and multiplied by the number of days during the period.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utilizing the proceeds from our initial public offering and other financing activities, we may make additional capital contributions to our mainland China subsidiaries, establish new mainland China subsidiaries and make capital contributions to these new mainland China subsidiaries, make loans to our mainland China subsidiaries, or acquire offshore entities with operations in mainland China in offshore transactions. However, most of these uses are subject to mainland China regulations. See “Item 3. Key Information—D. Risk Factors—Risks Related to Doing Business in Mainland China— Mainland China regulations of loans to and direct investment in domestic entities by offshore holding companies and governmental regulations of currency conversion may restrict or delay us from using the proceeds of our initial public offering or other offshore financing activities to make loans or additional capital contributions to our subsidiaries in mainland China, which could adversely affect our liquidity and our ability to fund and expand our business.”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of our revenues have been, and we expect will likely to continue to be, denominated in Renminbi. Under existing mainland China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mainland China subsidiaries are allowed to pay dividends in foreign currencies to us without prior SAFE approval by following certain routine procedural requirements. However, approval from or registration with competent government authorities is required where the Renminbi is to be converted into foreign currency and remitted out of mainland China to pay capital expenses such as the repayment of loans denominated in foreign currencies. The mainland China government may impose laws and regulations from time to time regarding access to foreign currencies for current account transactions in the future. If, in order to comply with the laws and regulations over foreign exchange, we are unable to obtain sufficient foreign currencies to satisfy our foreign currency demands, we may not be able to pay dividends in foreign currencies to our shareholders, including holders of our ADSs.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RMB18.0 million for the year ended December 31, 2023 and was primarily attributable to (i) net loss of RMB105.6 million, (ii) various non-cash items of RMB56.1 million, such as depreciation of property and equipment, allowance for credit losses and share-based compensation expense etc, (iii) RMB3.9 million increase in account receivables, (iv) RMB11.7 million increase in prepayments and other current assets, (v) RMB0.5 million decrease in accounts payable, (vi) RMB9.2 million decrease in contract liabilities, and (vii) RMB8.6 million decrease in accrued expenses and other current liabilities.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RMB61.4 million for the year ended December 31, 2024 and was primarily attributable to (i) net loss of RMB34.9 million, (ii) various non-cash items of RMB1.9 million, such as depreciation of property and equipment, allowance for credit losses etc, (iii) RMB0.9 million decrease in account receivables, (iv) RMB5.5 million decrease in prepayments and other current assets, (v) RMB1.1 million decrease in accounts payable, (vi) RMB12.0 million increase in contract liabilities, and (vii) RMB11.0 million increase in accrued expenses and other current liabilities.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RMB49.2 million (US$7.0 million) for the year ended December 31, 2025 and was primarily due to (i) adjustment of non-cash items of RMB2.8 million (US$400 thousand) which mainly consists of depreciation, allowance for credit losses, interest expenses related to convertible note and redemption of non-controlling interest, and (ii) a net change in operating assets and liabilities by RMB4.6 million (US$657 thousand), which was primarily attributable to prepayments and other current assets, contract liabilities, accrued expenses and other current liabilities and accounts payable.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net cash used in investing activities was RMB3.2 million in 2023. This was attributable to cash paid for purchase of property and equipment of RMB2.1 million in relation to office supplies and devices, and cash paid for equity-method investments of RMB1.2 million.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net cash provided by investing activities was RMB149 thousand in 2024. This was attributable to cash paid for purchase of property and equipment of RMB351 thousand in relation to office supplies and devices, and proceeds from disposal of investments of RMB500 thousand.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net cash used in investing activities was RMB850 thousand (US$122 thousand) in 2025. This was attributable to cash paid for purchase of property and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net cash provided by financing activities was RMB18.5 million in 2023. This was mainly attributable to (i) proceeds from shareholder loans of RMB14.2 million, and (ii) repayment for short-term borrowings of RMB2.0 million, (iii) loans repaid by a related party of RMB5.0 million.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net cash provided by financing activities was RMB60.4 million in 2024. This was mainly attributable to (i) proceeds from shareholder loans of RMB28.3 million, (ii) proceeds from short-term borrowings of RMB10.0 million, (iii) loans repaid by a related party of RMB7.9 million, (iv) capital contribution from non-controlling interest of RMB30.0 million, (v) repayment for shareholder loans of RMB8.4 million, and (vi) amounts due to related parties of RMB8.5 million.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net cash provided by financing activities was RMB155.3 million (US$22.2 million) in 2025. This was mainly attributable to proceeds from bank borrowings, proceeds from shareholder loans, issuance of common stocks-cash and convertible notes payable, partially offset by repayment for bank borrowings, repayment amounts due to related parties and repayment for shareholder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material cash requirements as of December 31, 2025 and any subsequent interim period primarily include our capital expenditures and contractual obligations. We intend to fund our material cash requirements with our cash balance and proceeds from our initial public offering and other financing activities. We will continue to make cash commitments, including capital expenditures, to meet the expected growth of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capital expenditures were incurred primarily in connection with office facilities and equipment, furnishing of our buildings and purchase of property. Our capital expenditures were RMB2.1 million in 2023, RMB351 thousand in 2024 and RMB850 thousand (US$122 thousand) in 2025. We will continue to make capital expenditures to meet the expected growth of our operations and expect cash generated from our financing activities will continue to meet our capital expenditure needs in the foreseeable future.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8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December 31, 2025:</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6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Payment Due by December 31,</w:t>
            </w: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4620" w:type="dxa"/>
            <w:vAlign w:val="bottom"/>
          </w:tcPr>
          <w:p>
            <w:pPr>
              <w:spacing w:after="0"/>
              <w:rPr>
                <w:sz w:val="20"/>
                <w:szCs w:val="20"/>
                <w:color w:val="auto"/>
              </w:rPr>
            </w:pPr>
          </w:p>
        </w:tc>
        <w:tc>
          <w:tcPr>
            <w:tcW w:w="138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2028</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5"/>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(RMB in thousands)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2,747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2,377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for those disclosed above, we did not have any significant capital or other commitments, long-term obligations, or guarantees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Yimutian is a holding company with no material operations of its own. We conduct our operations through our mainland China subsidiaries and the VIEs. As a result, Yimutian’s ability to pay dividends depends upon dividends paid by our mainland China subsidiaries. If our existing mainland China subsidiaries or any newly formed mainland China subsidiaries incur debt on their own behalf in the future, the instruments governing their debt may restrict their ability to pay dividends to us. In addition, our mainland China subsidiaries are permitted to pay dividends to us only out of their retained earnings, if any, as determined in accordance with accounting standards and regulations in mainland China. Under the laws of mainland China, each of our mainland China subsidiaries and the VIEs is required to set aside at least 10% of its after-tax profits each year, if any, to fund certain statutory reserve funds until such reserve funds reach 50% of its registered capital. In addition, our mainland China subsidiaries may allocate a portion of its after-tax profits based on mainland China accounting standards to enterprise expansion funds and staff bonus and welfare funds at its discretion, and the VIEs may allocate a portion of their after-tax profits based on mainland China accounting standards to a discretionary surplus fund at its discretion. The statutory reserve funds and the discretionary funds are not distributable as cash dividends. Remittance of dividends by a wholly foreign-owned company out of mainland China is subject to examination by the banks designated by SAFE. Our mainland China subsidiaries have not paid dividends and will not be able to pay dividends until they generate accumulated profits and meets the requirements for statutory reserve funds.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Overview—Technology” and “Item 4. Information On the Company—B. Business Overview—Intellectual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period from January 1, 2026 that are reasonably likely to have a material effect on our net revenues, income, profitability, liquidity or capital resources, or that would cause the disclosed financial information to be not necessarily indicative of future operating results or financial conditions.</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CRITICAL ACCOUNTING ESTIMATES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accounting policy is considered critical if it requires an accounting estimate to be made based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0" w:name="page121"/>
    <w:bookmarkEnd w:id="12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the U.S. GAAP, which requires us to make judgments, estimates and assumptions that affect our reported amounts of assets and liabilities and disclosure of contingent assets and liabilities at the end of each fiscal period and the reported amounts of revenue and expenses during each fiscal period. We continually evaluate these judgments and estimates based on our own historical experience, knowledge and assessment of current business and other conditions, our expectations regarding the future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We believe the following accounting policies involve the most significant judgments and estimates used in the preparation of our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our ordinary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determining our equity value, we applied the discounted cash flow analysis based on our projected cash flows using our best estimate as of the valuation date. The determination of the fair value of our ordinary shares requires complex and subjective judgments to be made regarding our projected financial and operating results, our unique business risks, the liquidity of our shares and our operating history and prospects at the time of valuation.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income approach involves applying appropriate weighted average costs of capital, or WACCs, to estimated cash flows that are based on earnings forecasts. Our revenues and earnings growth rates, as well as major milestones that we have achieved, contributed to the increase in the fair value of our ordinary shares. The assumptions used in deriving the fair values are consistent with our business plan. These assumptions include: no material changes in the existing political, legal and economic conditions in China; our ability to retain competent management, key personnel and staff to support our ongoing operations; and no material deviation in market conditions from economic forecasts. These assumptions are inherently uncertain.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hybrid method, comprising of the probability-weighted expected return method and the option pricing method, was used to allocate equity value of our company to preferred and ordinary shares, considering the guidance prescribed by the AICPA Audit and Accounting Practice Aid. This method involves making estimates of the anticipated timing of a potential liquidity event, such as a sale of our company or an initial public offering and estimates of the volatility of our equity securities. The anticipated timing is based on the plans of our board of directors and management.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 assumptions used in calculating the fair value of ordinary shares include:</w:t>
      </w:r>
    </w:p>
    <w:p>
      <w:pPr>
        <w:spacing w:after="0" w:line="223" w:lineRule="exact"/>
        <w:rPr>
          <w:sz w:val="20"/>
          <w:szCs w:val="20"/>
          <w:color w:val="auto"/>
        </w:rPr>
      </w:pPr>
    </w:p>
    <w:p>
      <w:pPr>
        <w:ind w:left="980" w:hanging="324"/>
        <w:spacing w:after="0" w:line="284"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WACCs</w:t>
      </w:r>
      <w:r>
        <w:rPr>
          <w:rFonts w:ascii="Times New Roman" w:cs="Times New Roman" w:eastAsia="Times New Roman" w:hAnsi="Times New Roman"/>
          <w:sz w:val="18"/>
          <w:szCs w:val="18"/>
          <w:color w:val="auto"/>
        </w:rPr>
        <w:t>: The WACCs were determined based on a consideration of the factors including risk-free rate, comparative industry risk, equity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 company size and non-systematic risk factors.</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Comparable companies</w:t>
      </w:r>
      <w:r>
        <w:rPr>
          <w:rFonts w:ascii="Times New Roman" w:cs="Times New Roman" w:eastAsia="Times New Roman" w:hAnsi="Times New Roman"/>
          <w:sz w:val="18"/>
          <w:szCs w:val="18"/>
          <w:color w:val="auto"/>
        </w:rPr>
        <w:t>: In deriving the weighted average cost of capital used as the discount rates under the income approach,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traded companies were selected for reference as our guideline companies. The guideline companies were selected based on the following criteria: (i) they operate in the online agriculture industry and (ii) their shares are publicly traded in China.</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Discount for lack of marketability, or DLOM</w:t>
      </w:r>
      <w:r>
        <w:rPr>
          <w:rFonts w:ascii="Times New Roman" w:cs="Times New Roman" w:eastAsia="Times New Roman" w:hAnsi="Times New Roman"/>
          <w:sz w:val="18"/>
          <w:szCs w:val="18"/>
          <w:color w:val="auto"/>
        </w:rPr>
        <w:t>: DLOM was quantified by the Finnerty’s Average-Strike put options mode. Under this option-pricing method, which assumed that the put option is struck at the average price of the stock before the privately held shares can be sold, the cost of the put option was considered as a basis to determine the DLOM.</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Assumptions are updated at each valuation date if required.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300" w:type="dxa"/>
            <w:vAlign w:val="bottom"/>
          </w:tcPr>
          <w:p>
            <w:pPr>
              <w:ind w:left="3140"/>
              <w:spacing w:after="0"/>
              <w:rPr>
                <w:sz w:val="20"/>
                <w:szCs w:val="20"/>
                <w:color w:val="auto"/>
              </w:rPr>
            </w:pPr>
            <w:r>
              <w:rPr>
                <w:rFonts w:ascii="Times New Roman" w:cs="Times New Roman" w:eastAsia="Times New Roman" w:hAnsi="Times New Roman"/>
                <w:sz w:val="18"/>
                <w:szCs w:val="18"/>
                <w:b w:val="1"/>
                <w:bCs w:val="1"/>
                <w:color w:val="auto"/>
              </w:rPr>
              <w:t>Position/Title</w:t>
            </w:r>
          </w:p>
        </w:tc>
      </w:tr>
      <w:tr>
        <w:trPr>
          <w:trHeight w:val="209"/>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Jinhong Deng</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00" w:type="dxa"/>
            <w:vAlign w:val="bottom"/>
            <w:tcBorders>
              <w:top w:val="single" w:sz="8" w:color="CCEEFF"/>
            </w:tcBorders>
            <w:shd w:val="clear" w:color="auto" w:fill="CCEEFF"/>
          </w:tcPr>
          <w:p>
            <w:pPr>
              <w:spacing w:after="0"/>
              <w:rPr>
                <w:sz w:val="18"/>
                <w:szCs w:val="18"/>
                <w:color w:val="auto"/>
              </w:rPr>
            </w:pPr>
          </w:p>
        </w:tc>
        <w:tc>
          <w:tcPr>
            <w:tcW w:w="7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Founder, Chairman of the Board and Chief Executive Officer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 Liu</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and Senior Vice President</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Shijie Chen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shd w:val="clear" w:color="auto" w:fill="CCEEFF"/>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and Chief Financial Officer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Zhijia Liu</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 Zhou</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00" w:type="dxa"/>
            <w:vAlign w:val="bottom"/>
            <w:shd w:val="clear" w:color="auto" w:fill="CCEEFF"/>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 Zhang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Xinghong Hua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shd w:val="clear" w:color="auto" w:fill="CCEEFF"/>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Xiaowei Wang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Xu Deng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shd w:val="clear" w:color="auto" w:fill="CCEEFF"/>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Manager of Yimutian Business</w:t>
            </w:r>
          </w:p>
        </w:tc>
      </w:tr>
    </w:tbl>
    <w:p>
      <w:pPr>
        <w:spacing w:after="0" w:line="196" w:lineRule="exact"/>
        <w:rPr>
          <w:sz w:val="20"/>
          <w:szCs w:val="20"/>
          <w:color w:val="auto"/>
        </w:rPr>
      </w:pPr>
    </w:p>
    <w:p>
      <w:pPr>
        <w:jc w:val="both"/>
        <w:ind w:firstLine="648"/>
        <w:spacing w:after="0" w:line="233" w:lineRule="exact"/>
        <w:rPr>
          <w:sz w:val="20"/>
          <w:szCs w:val="20"/>
          <w:color w:val="auto"/>
        </w:rPr>
      </w:pPr>
      <w:r>
        <w:rPr>
          <w:rFonts w:ascii="Times New Roman" w:cs="Times New Roman" w:eastAsia="Times New Roman" w:hAnsi="Times New Roman"/>
          <w:sz w:val="17"/>
          <w:szCs w:val="17"/>
          <w:i w:val="1"/>
          <w:iCs w:val="1"/>
          <w:color w:val="auto"/>
        </w:rPr>
        <w:t xml:space="preserve">Mr. Jinhong Deng </w:t>
      </w:r>
      <w:r>
        <w:rPr>
          <w:rFonts w:ascii="Times New Roman" w:cs="Times New Roman" w:eastAsia="Times New Roman" w:hAnsi="Times New Roman"/>
          <w:sz w:val="17"/>
          <w:szCs w:val="17"/>
          <w:color w:val="auto"/>
        </w:rPr>
        <w:t>founded our Company in 2011 and has served as our chairman and chief executive officer since our inception. Mr. Deng started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his career at Baidu in 2006 where he worked in the marketing department and served as a product manager. In 2009, Mr. Deng founded Yi Cun Wang (</w:t>
      </w:r>
      <w:r>
        <w:rPr>
          <w:rFonts w:ascii="SimSun" w:cs="SimSun" w:eastAsia="SimSun" w:hAnsi="SimSun"/>
          <w:sz w:val="17"/>
          <w:szCs w:val="17"/>
          <w:color w:val="auto"/>
        </w:rPr>
        <w:t>易村</w:t>
      </w:r>
    </w:p>
    <w:p>
      <w:pPr>
        <w:spacing w:after="0" w:line="10" w:lineRule="exact"/>
        <w:rPr>
          <w:sz w:val="20"/>
          <w:szCs w:val="20"/>
          <w:color w:val="auto"/>
        </w:rPr>
      </w:pPr>
    </w:p>
    <w:p>
      <w:pPr>
        <w:jc w:val="both"/>
        <w:ind w:firstLine="8"/>
        <w:spacing w:after="0" w:line="258" w:lineRule="auto"/>
        <w:tabs>
          <w:tab w:leader="none" w:pos="189" w:val="left"/>
        </w:tabs>
        <w:numPr>
          <w:ilvl w:val="0"/>
          <w:numId w:val="54"/>
        </w:numPr>
        <w:rPr>
          <w:rFonts w:ascii="SimSun" w:cs="SimSun" w:eastAsia="SimSun" w:hAnsi="SimSun"/>
          <w:sz w:val="18"/>
          <w:szCs w:val="18"/>
          <w:color w:val="auto"/>
        </w:rPr>
      </w:pPr>
      <w:r>
        <w:rPr>
          <w:rFonts w:ascii="Times New Roman" w:cs="Times New Roman" w:eastAsia="Times New Roman" w:hAnsi="Times New Roman"/>
          <w:sz w:val="18"/>
          <w:szCs w:val="18"/>
          <w:color w:val="auto"/>
        </w:rPr>
        <w:t>), a digital platform for comparing market prices of agricultural products, and had served as its chief executive officer until 2010. Mr. Deng is the Industrial Entrepreneur of the Year awarded by the 2023 International Top 100 Future Agricultural Food Conference and the Pioneer of Digital Agriculture awarded by the 2020 World Digital Agriculture Conference. He is also one of the Fortune China’s 40 Under 40 business elites in 2020, the 36Kr’s 36 Under 36 brilliant entrepreneurs in 2020, and the top 10 entrepreneurs rewarded the For Good Awards on the 2022 China Forum of Social Enterprise and Investment of Impact. Mr. Deng graduated from Beijing University of Posts and Telecommunications in 2007 with a bachelor’s degree.</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Min Liu </w:t>
      </w:r>
      <w:r>
        <w:rPr>
          <w:rFonts w:ascii="Times New Roman" w:cs="Times New Roman" w:eastAsia="Times New Roman" w:hAnsi="Times New Roman"/>
          <w:sz w:val="18"/>
          <w:szCs w:val="18"/>
          <w:color w:val="auto"/>
        </w:rPr>
        <w:t>has served as our director and senior vice president since March 2015. Mr. Liu was a lawyer specialized in intellectual property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Beijing Yonghe Law Firm from September 2004 to November 2006. From December 2006 to February 2015, he served at the legal department of Baidu Group where he was a legal counsel and later became the director of legal department. Mr. Liu graduated from Nanjing University in 2004 with a master of laws degree, and he received a Ph.D. degree in law from Peking University in 2014.</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Shijie Chen </w:t>
      </w:r>
      <w:r>
        <w:rPr>
          <w:rFonts w:ascii="Times New Roman" w:cs="Times New Roman" w:eastAsia="Times New Roman" w:hAnsi="Times New Roman"/>
          <w:sz w:val="18"/>
          <w:szCs w:val="18"/>
          <w:color w:val="auto"/>
        </w:rPr>
        <w:t>has served as our chief financial officer since May 2019. Before joining us, Mr. Chen was a consulting manager at Moody’s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 Services from March 2010 to April 2014. He later joined Lan Ju Investment Group where he was a project partner from June 2014 to April 2016. Mr. Chen had served as a senior investment director at Xiaomi Group from August 2016 to December 2018. Mr. Chen graduated from Beijing Second Foreign Language School in 2008 with a bachelor’s degree. He received a master’s degree from Claremont Graduate University in 2010.</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Zhijia Liu </w:t>
      </w:r>
      <w:r>
        <w:rPr>
          <w:rFonts w:ascii="Times New Roman" w:cs="Times New Roman" w:eastAsia="Times New Roman" w:hAnsi="Times New Roman"/>
          <w:sz w:val="18"/>
          <w:szCs w:val="18"/>
          <w:color w:val="auto"/>
        </w:rPr>
        <w:t>has served as our director since 2018. Mr. Liu served the director at Beijing Economic Information Center from 1997 to 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Liu first joined us in 2013 and served as the marketing manager until 2015. Mr. Liu later joined Dachuwang, an affiliate of our company, in 2015 and served as the marketing manager until 2016. Mr. Liu later founded Meichu Tianxia Network Technology Co., Limited in 2016 and served as the general manager until 2017. In 2018, Mr. Liu re-joined us as the manager of the innovation division. Mr. Liu received an associate degree from Capital Normal University in 1997. He graduated from the University of International Business and Economics with a bachelor’s degree in 2002.</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Mi Zhou </w:t>
      </w:r>
      <w:r>
        <w:rPr>
          <w:rFonts w:ascii="Times New Roman" w:cs="Times New Roman" w:eastAsia="Times New Roman" w:hAnsi="Times New Roman"/>
          <w:sz w:val="18"/>
          <w:szCs w:val="18"/>
          <w:color w:val="auto"/>
        </w:rPr>
        <w:t>is our co-founder and has served as our director since 2018. Mr. Zhou was a software engineer at Baidu Online Network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 Ltd. from July 2007 to December 2009. After that, he served as a senior technology manager in the technology division at Dangdang.com until he co-founded our company in March 2012. Mr. Zhou graduated from Beijing University of Posts and Telecommunications in July 2007 with a bachelor’s degree in information security.</w:t>
      </w:r>
    </w:p>
    <w:p>
      <w:pPr>
        <w:spacing w:after="0" w:line="180"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Mr. Yu Zhang </w:t>
      </w:r>
      <w:r>
        <w:rPr>
          <w:rFonts w:ascii="Times New Roman" w:cs="Times New Roman" w:eastAsia="Times New Roman" w:hAnsi="Times New Roman"/>
          <w:sz w:val="18"/>
          <w:szCs w:val="18"/>
          <w:color w:val="auto"/>
        </w:rPr>
        <w:t>has served as our director since 2018. He has served as a vice president of Yiguo and the general manager of Shanghai ExFresh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Logistics Technology Co., Ltd. since 2015. Mr. Zhang obtained his bachelor’s degree in industrial foreign trade from East China University of Science and Technology in 2000.</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2" w:name="page123"/>
    <w:bookmarkEnd w:id="122"/>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 Xinghong Hua </w:t>
      </w:r>
      <w:r>
        <w:rPr>
          <w:rFonts w:ascii="Times New Roman" w:cs="Times New Roman" w:eastAsia="Times New Roman" w:hAnsi="Times New Roman"/>
          <w:sz w:val="18"/>
          <w:szCs w:val="18"/>
          <w:color w:val="auto"/>
        </w:rPr>
        <w:t>has served as our independent director since August 2025. Mr. Hua was a manager at the department of overseas branch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of the headquarter of Bank of China from 1994 to 1996. He had served as a project manager at the department of government relations of ARCO in Washington D.C., United States from 1997 to 1998. He later became a senior manager at Pace Global Energy Services from 1998 to 2004. In 2004, Mr. Hua joined Alcoa Inc. as an Asia-Pacific vice president until 2008. From 2008 to 2020, Mr. Hua was the greater China president and a managing director at Cerberus Capital Management LP. He served as a managing director at Lone Star Funds from 2020 to 2021. Mr. Hua has been the co-founder and chief executive officer of Zan Investment Advisory Limited in Hong Kong since 2022. Mr. Hua received his bachelor’s degree in 1991 and master’s degree in 1994 from Peking University School of International Relations. He also received a master’s degree in international economics, energy and environment from the Johns Hopkins University in 1998.</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Ms. Xiaowei Wang </w:t>
      </w:r>
      <w:r>
        <w:rPr>
          <w:rFonts w:ascii="Times New Roman" w:cs="Times New Roman" w:eastAsia="Times New Roman" w:hAnsi="Times New Roman"/>
          <w:sz w:val="18"/>
          <w:szCs w:val="18"/>
          <w:color w:val="auto"/>
        </w:rPr>
        <w:t>has served as our independent director since August 2025. From 2000 to 2006, Ms. Wang served as a human resource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China Dot Com Group. She became a human resource director at Motorola Mobile Technology (China) Limited in 2008. From 2013 to 2015, Ms. Wang was a human resource vice president at 99Bill Group. She later served as a human resource vice president at Xiaomi Group from 2016 to 2019. She has been a human resource vice president at Hello Group Inc (Nasdaq: MOMO) since 2019. Ms. Wang received a bachelor’s degree of economics from Jinnan University, Guangzhou in 1995 and a master’s degree of finance from the Chinese Academy of Social Science in 1998. She also received an EMBA degree from Cheung Kong Graduate School of Business in 2005.</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Xu Deng </w:t>
      </w:r>
      <w:r>
        <w:rPr>
          <w:rFonts w:ascii="Times New Roman" w:cs="Times New Roman" w:eastAsia="Times New Roman" w:hAnsi="Times New Roman"/>
          <w:sz w:val="18"/>
          <w:szCs w:val="18"/>
          <w:color w:val="auto"/>
        </w:rPr>
        <w:t>has served as the general manager of Yimutian business since March 2021. Previously, Mr. Deng started his career in NetEase Media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(Beijing) Co., Ltd., a subsidiary of NetEase (Nasdaq: NETS; HKEx: 9999), in July 2011 and later became a product vice director. In August 2016, Mr. Deng joined Yixia.com where he served as the general manager of the Yizhibo App business. Mr. Deng jointed Douyu (Nasdaq: DOYU) in November 2018 as the head of R&amp;D division. In October 2019, Mr. Deng served as a director of the business division of new car at Golden Guazi Technology Development Co., Ltd., a subsidiary of Chehaoduo Group. Mr. Deng graduated from the Beijing University of Science and Technology in 2009 with a bachelor’s degree in industrial design. He also received a master’s degree from Beijing University of Technology in 2011.</w:t>
      </w:r>
    </w:p>
    <w:p>
      <w:pPr>
        <w:spacing w:after="0" w:line="18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COMPENSATION OF DIRECTORS AND EXECUTIVE OFFICERS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we paid an aggregate of RMB5.8 million (US$0.8 million) in cash to our directors and executive officers. We have not set aside or accrued any amount to provide pension, retirement or other similar benefits to our directors and executive officers. Our PRC subsidiaries are required by law to make contributions equal to certain percentages of each employee’s salary for his or her pension insurance, medical insurance, unemployment insurance and other statutory benefits and a housing provident fund.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Under these agreements, each of our executive officers is employed for an initial specified term, which is automatically extended for successive periods unless either party gives 60 days’ advance written notice of non-renewal.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a 60-day advance written notice. In such case of termination by us, the executive officer will receive compensation and benefits during the notice period, and any additional severance as may be agreed, subject to the executive officer signing a customary release of claims. The executive officer may resign at any time with a 60 days’ advance written notice.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23" w:name="page124"/>
    <w:bookmarkEnd w:id="12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two years and one year following the last date of employment, respectively.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w:t>
      </w:r>
    </w:p>
    <w:p>
      <w:pPr>
        <w:spacing w:after="0" w:line="3" w:lineRule="exact"/>
        <w:rPr>
          <w:sz w:val="20"/>
          <w:szCs w:val="20"/>
          <w:color w:val="auto"/>
        </w:rPr>
      </w:pPr>
    </w:p>
    <w:p>
      <w:pPr>
        <w:jc w:val="both"/>
        <w:ind w:firstLine="8"/>
        <w:spacing w:after="0" w:line="255" w:lineRule="auto"/>
        <w:tabs>
          <w:tab w:leader="none" w:pos="28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Share Incentive Plan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2015, our board of directors approved and adopted the 2015 share incentive plan, or the 2015 Plan, to attract and retain the best available personnel, provide additional incentives to employees, directors and consultants, and promote the success of our business. The maximum aggregate number of ordinary shares that may be issued under the 2015 Plan is 815,130,483, subject to further amendment. As of May 15, 2026, options to purchase a total of 623,090,850 ordinary shares have been granted under the 2015 Plan, excluding awards that were forfeited or cancelled after the relevant grant dates.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paragraphs summarize the principal terms of the 2015 Plan.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Type of Awards. </w:t>
      </w:r>
      <w:r>
        <w:rPr>
          <w:rFonts w:ascii="Times New Roman" w:cs="Times New Roman" w:eastAsia="Times New Roman" w:hAnsi="Times New Roman"/>
          <w:sz w:val="18"/>
          <w:szCs w:val="18"/>
          <w:color w:val="auto"/>
        </w:rPr>
        <w:t>The 2015 Plan permits the award of options.</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2015 Plan is administered by our board of directors. Our board of directors may also establish a committee to administer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2015 Plan.</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Awards granted under the 2015 are evidenced by an award agreement that sets forth the terms, conditions and limitations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award, which may include the term of the award, the provisions applicable in the event that the grantee’s employment or service terminates, and our authority to unilaterally or bilaterally amend, modify, suspend, cancel or rescind the award.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We may grant awards to our employees, directors and consultants.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our board of directors determines the vesting schedule, which is specified in the relevant award agreement.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granted to employees are subject to a four-year vesting schedule, with 25% of the granted options to vest on the first anniversary of the vesting commencement date, and the remaining 75% of the granted options to equally vest (i) every month, (ii) every quarter, or (iii) every six months over the next three years, depending on the terms of the notice of awards.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Exercise of Awards. </w:t>
      </w:r>
      <w:r>
        <w:rPr>
          <w:rFonts w:ascii="Times New Roman" w:cs="Times New Roman" w:eastAsia="Times New Roman" w:hAnsi="Times New Roman"/>
          <w:sz w:val="18"/>
          <w:szCs w:val="18"/>
          <w:color w:val="auto"/>
        </w:rPr>
        <w:t>The exercise price, as applicable, and expiration date for each award are stated in the relevant award agreement. However,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maximum exercisable term is ten years from the date of grant unless extended by our board of directors. The option holders may only exercise their vested options after 90 days following the completion of an initial public offering or a sale of all or substantially all assets or equity interests of the Company, subject to compliance of applicable requirements under laws and regulations in mainland China.</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participant other than in accordance with the exceptions provided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Plan or the relevant award agreement or otherwise determined by our board of directors or the committee established by our board of directors to administer the 2015 Plan.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Termination and Amendment of the Plan. </w:t>
      </w:r>
      <w:r>
        <w:rPr>
          <w:rFonts w:ascii="Times New Roman" w:cs="Times New Roman" w:eastAsia="Times New Roman" w:hAnsi="Times New Roman"/>
          <w:sz w:val="18"/>
          <w:szCs w:val="18"/>
          <w:color w:val="auto"/>
        </w:rPr>
        <w:t>Unless terminated earlier, the 2015 Plan has a term of ten years from the date of its effectiveness.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has the authority to amend and terminate the 2015 Plan, provided that material amendments to the 2015 Plan, including but not limited to any increase in the authorized shares reserved for issuance under the 2015 Plan, require the approval of the shareholders according to the terms of the 2015 Plan. In May 2025, our board of directors approved an extension of the 2015 Plan by another ten-year period. However, unless otherwise determined by our board of directors or the committee established by our board of directors to administer the 2015 Plan in good faith, no such action may adversely affect in any material way any award previously issued pursuant to the 2015 Plan.</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May 15, 2026, the options granted to our directors and executive officers, excluding awards that were forfeited or cancelled after the relevant grant 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Awarded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(US$/Share)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Expiration</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Jinhong Deng</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10,711,847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0.01</w:t>
            </w: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6, 2016</w:t>
            </w:r>
          </w:p>
        </w:tc>
        <w:tc>
          <w:tcPr>
            <w:tcW w:w="1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4, 2035</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4,179,903</w:t>
            </w: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0.01</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30, 2017</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4, 2035</w:t>
            </w: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22,719,111</w:t>
            </w: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0.01</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October 31, 2017</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4, 2035</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5,679,778</w:t>
            </w: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0.01</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January 10, 2018</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4, 2035</w:t>
            </w: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29,874,034</w:t>
            </w: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0.01</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1, 2018</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4, 2035</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3,100,000</w:t>
            </w: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0.01</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May 1, 2018</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4, 2035</w:t>
            </w: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191,639,966</w:t>
            </w: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0.01</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23, 2019</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4, 2035</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 Liu</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8,259,149</w:t>
            </w: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0.01</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6, 2016</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4, 2035</w:t>
            </w: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3,222,828</w:t>
            </w: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0.01</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30, 2017</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4, 2035</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10,512,876</w:t>
            </w: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0.01</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October 31, 2017</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4, 2035</w:t>
            </w: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2,628,219</w:t>
            </w: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0.01</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January 10, 2018</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4, 2035</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3,171,797</w:t>
            </w: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0.01</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1, 2018</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4, 2035</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Shijie Chen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10,086,314</w:t>
            </w: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0.01</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27, 2019</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4, 2035</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Zhijia Liu</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6,026,414</w:t>
            </w: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0.01</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1, 2018</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4, 2035</w:t>
            </w:r>
          </w:p>
        </w:tc>
      </w:tr>
      <w:tr>
        <w:trPr>
          <w:trHeight w:val="216"/>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3,000</w:t>
            </w: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0.01</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October 17, 2022</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4, 2035</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 Zhou</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3,171,797</w:t>
            </w: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0.01</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1, 2018</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4, 2035</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Xu Deng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9,987,000</w:t>
            </w: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0.01</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15, 2021</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4, 2035</w:t>
            </w:r>
          </w:p>
        </w:tc>
      </w:t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324,974,033</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of this annual report, no restricted shares or restricted share units has been granted to our directors and executive officers.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February 28, 2026, our employees and other qualified individuals, other than members of directors and executive officers as a group, hold options to acquire a total of 298,116,817 ordinary shares granted under the 2015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Share Incentive Plan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2025, our board of directors approved and adopted the 2025 share incentive plan, or the 2025 Plan, to attract and retain the best available personnel, provide additional incentives to employees, directors and consultants, and promote the success of our business. The maximum aggregate number of ordinary shares that may be issued under the 2025 Plan is 178,075,362. As of the date of this report, a total of 6,362,000 ordinary shares granted under the 2025 Plan.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2025 Share Incentive Plan.</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plan permits the awards of options, restricted shares, and restricted share unit awards or other types of awards approved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or a committee (the “Committee”) of the board.</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the Committee (the plan administrator) administer the plan. The board or the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among other things, the participants eligible to receive awards, the type or types of awards to be granted to each eligible participant, the number of awards to be granted to each eligible participant, and the terms and conditions of each award grant.</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Awards under the plan are evidenced by an award agreement that set forth the terms, conditions and limitations for each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include the term of an award, the provisions applicable in the event the participant’s employment or service terminates, and our authority to unilaterally or bilaterally amend, modify, suspend, cancel or rescind an award.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We may grant awards to our directors, consultants, and employees.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In general, the plan administrator determines the vesting schedule, which is specified in the relevant award agreement.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Exercise of awards</w:t>
      </w:r>
      <w:r>
        <w:rPr>
          <w:rFonts w:ascii="Times New Roman" w:cs="Times New Roman" w:eastAsia="Times New Roman" w:hAnsi="Times New Roman"/>
          <w:sz w:val="18"/>
          <w:szCs w:val="18"/>
          <w:color w:val="auto"/>
        </w:rPr>
        <w:t>. The exercise price per share subject to an option is determined by the plan administrator and set forth in the award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a fixed price or a variable price related to the fair market value of the shares.</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Awards may not be transferred in any manner by the eligible participant other than in accordance with the limited exceptions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in the plan, such as transfers to our company or a subsidiary of ours, transfers to the immediate family members of the participant by gift, the designation of a beneficiary to receive benefits if the participant dies, permitted transfers or exercises on behalf of the participant by the participant’s duly authorized legal representative if the participant has suffered a disability, or, subject to the prior approval of the plan administrator or our executive officer or director authorized by the plan administrator, transfers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plan administrator, pursuant to such conditions and procedures as the plan administrator may establish.</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Termination and amendment of the 2025 Share Incentive Plan</w:t>
      </w:r>
      <w:r>
        <w:rPr>
          <w:rFonts w:ascii="Times New Roman" w:cs="Times New Roman" w:eastAsia="Times New Roman" w:hAnsi="Times New Roman"/>
          <w:sz w:val="18"/>
          <w:szCs w:val="18"/>
          <w:color w:val="auto"/>
        </w:rPr>
        <w:t>. Unless terminated earlier, the 2025 Plan has a term of ten years.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may terminate, amend or modify the plan, subject to the limitations of applicable laws. However, no termination, amendment, or modification of the plan may adversely affect in any material way any award previously granted pursuant to the plan without the prior written consent of the participant.</w:t>
      </w:r>
    </w:p>
    <w:p>
      <w:pPr>
        <w:spacing w:after="0" w:line="171" w:lineRule="exact"/>
        <w:rPr>
          <w:sz w:val="20"/>
          <w:szCs w:val="20"/>
          <w:color w:val="auto"/>
        </w:rPr>
      </w:pPr>
    </w:p>
    <w:p>
      <w:pPr>
        <w:ind w:right="9180" w:firstLine="8"/>
        <w:spacing w:after="0" w:line="503" w:lineRule="auto"/>
        <w:tabs>
          <w:tab w:leader="none" w:pos="32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 Board of Directors</w:t>
      </w: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currently consists of eight directors. A director is not required to hold any shares in our company to qualify to serve as a director. The Listing Rules of Nasdaq generally require that a majority of an issuer’s board of directors must consist of independent directors. However, the Listing Rules of Nasdaq permit foreign private issuers like us to follow “home country practice” in certain corporate governance matters. We rely on this “home country practice” exception and do not have a majority of independent directors serving on our board of directors.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director who is in any way, whether directly or indirectly, interested in a contract or proposed contract with our company is required to declare the nature of his or her interest at a meeting of our directors. A general notice given to the directors by any director to the effect that he or 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26" w:name="page127"/>
    <w:bookmarkEnd w:id="126"/>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Audit Committee. </w:t>
      </w:r>
      <w:r>
        <w:rPr>
          <w:rFonts w:ascii="Times New Roman" w:cs="Times New Roman" w:eastAsia="Times New Roman" w:hAnsi="Times New Roman"/>
          <w:sz w:val="18"/>
          <w:szCs w:val="18"/>
          <w:color w:val="auto"/>
        </w:rPr>
        <w:t>Our audit committee consists of Mr. Xinghong Hua and Ms. Xiaowei Wang. Mr. Xinghong Hua is the chairman of our audit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We have determined that Mr. Xinghong Hua and Ms. Xiaowei Wang satisfy the “independence” requirements of Rule 5605(a)(2) of the Listing Rules of Nasdaq and Rule 10A-3 under the Exchange Act. We have determined that Mr. Xinghong Hua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85" w:lineRule="exact"/>
        <w:rPr>
          <w:sz w:val="20"/>
          <w:szCs w:val="20"/>
          <w:color w:val="auto"/>
        </w:rPr>
      </w:pPr>
    </w:p>
    <w:p>
      <w:pPr>
        <w:ind w:left="980" w:hanging="324"/>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related-party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Our compensation committee consists of Ms. Xiaowei Wang and Mr. Xinghong Hua. Ms. Xiaowei Wang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chairwoman of our compensation committee. We have determined that Ms. Xiaowei Wang and Mr. Xinghong Hua satisfy the “independence” requirements of Rule 5605(a)(2) of the Listing Rules of Nasdaq.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85" w:lineRule="exact"/>
        <w:rPr>
          <w:sz w:val="20"/>
          <w:szCs w:val="20"/>
          <w:color w:val="auto"/>
        </w:rPr>
      </w:pPr>
    </w:p>
    <w:p>
      <w:pPr>
        <w:ind w:left="980" w:hanging="324"/>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compensation consultant, legal counsel or other adviser only after taking into consideration all factors relevant to that person’s independence from management.</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consists of Mr. Xinghong Hua and 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Xiaowei Wang. Mr. Xinghong Hua is the chairman of our nominating and corporate governance committee. Mr. Xinghong Hua and Ms. Xiaowei Wang satisfy the “independence” requirements of Rule 5605(a)(2) of the Listing Rules of Nasdaq.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185" w:lineRule="exact"/>
        <w:rPr>
          <w:sz w:val="20"/>
          <w:szCs w:val="20"/>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 to characteristics such as independence, knowledge, skills, experience and diversity;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the skill they actually possess and such care and diligence that a reasonable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director breaches any duty which he or she owes to us. In limited exceptional circumstances, a shareholder may have the right to seek damages in our name if a duty owed by our directors is breached. In accordance with our currently effective articles of association, the functions and powers of our board of directors include, among others, (i) convening shareholders’ annual general meetings and reporting its work to shareholders at such meetings, (ii) declaring dividends, (iii) appointing officers and determining their terms of offices and responsibilities, and (iv) approving the transfer of shares of our company, including the registering of such shares in our register of members. In addition, in the event of a tie vote, the chairman of the meeting has, the right to cast a second or casting vote.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directors may be appointed by an ordinary resolution of our shareholders. Our directors are not subject to a term of office and hold office until such time as they are removed from office by ordinary resolution of our shareholders (except with regard to the removal of the chairman of the board of directors, who may only be removed from office by special resolution of our shareholders). Our independent directors are subject to a fixed term of two years and their services may be terminated earlier with advanced notice. A director will cease to be a director if, among other things, the director</w:t>
      </w:r>
    </w:p>
    <w:p>
      <w:pPr>
        <w:spacing w:after="0" w:line="3" w:lineRule="exact"/>
        <w:rPr>
          <w:sz w:val="20"/>
          <w:szCs w:val="20"/>
          <w:color w:val="auto"/>
        </w:rPr>
      </w:pPr>
    </w:p>
    <w:p>
      <w:pPr>
        <w:jc w:val="both"/>
        <w:ind w:firstLine="8"/>
        <w:spacing w:after="0" w:line="250" w:lineRule="auto"/>
        <w:tabs>
          <w:tab w:leader="none" w:pos="22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his or her office by notice in writing to our company; (ii) becomes bankrupt or makes any arrangement or composition with his or her creditors generally; (iii) dies or is found to be or becomes of unsound mind; (iv) is prohibited by any applicable law or stock exchange rules from being a director;</w:t>
      </w:r>
    </w:p>
    <w:p>
      <w:pPr>
        <w:jc w:val="both"/>
        <w:ind w:firstLine="8"/>
        <w:spacing w:after="0" w:line="255" w:lineRule="auto"/>
        <w:tabs>
          <w:tab w:leader="none" w:pos="26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of absence from the board, is absent from meetings of the board for three (3) consecutive meetings and the board (excluding the absent director) resolves that his or her office be vacated; or (vi) is removed from office pursuant to any other provision of our currently effective memorandum and articles of association.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officers are elected by and serve at the discretion of our board of directors.</w:t>
      </w:r>
    </w:p>
    <w:p>
      <w:pPr>
        <w:spacing w:after="0" w:line="221" w:lineRule="exact"/>
        <w:rPr>
          <w:sz w:val="20"/>
          <w:szCs w:val="20"/>
          <w:color w:val="auto"/>
        </w:rPr>
      </w:pPr>
    </w:p>
    <w:p>
      <w:pPr>
        <w:ind w:right="9780" w:firstLine="8"/>
        <w:spacing w:after="0" w:line="503" w:lineRule="auto"/>
        <w:tabs>
          <w:tab w:leader="none" w:pos="32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 Employees</w:t>
      </w: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a total of 789, 657 and 673 employees as of December 31, 2023, 2024 and 2025, respectively. All of our employees are based in mainland China. The following table sets forth the numbers of our employees categorized by function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5"/>
        </w:trPr>
        <w:tc>
          <w:tcPr>
            <w:tcW w:w="8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80" w:type="dxa"/>
            <w:vAlign w:val="bottom"/>
            <w:tcBorders>
              <w:bottom w:val="single" w:sz="8" w:color="CCEEFF"/>
            </w:tcBorders>
          </w:tcPr>
          <w:p>
            <w:pPr>
              <w:spacing w:after="0"/>
              <w:rPr>
                <w:sz w:val="21"/>
                <w:szCs w:val="2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service and operation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8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8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success depends on our ability to attract, retain and motivate qualified personnel. As part of our recruiting and retention strategy, we offer employees competitive salaries, performance-based cash bonuses and certain other incentives.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primarily recruit our employees through recruitment agencies and online channels, including our corporate website and social network accounts. We have adopted a training program, pursuant to which employees regularly receive trainings from management, technology, regulatory and other internal speakers or external consultants.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8" w:name="page129"/>
    <w:bookmarkEnd w:id="12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required under the regulations of mainland China, we participate in housing fund and various employee social security plans that are organized by applicable local municipal and provincial governments, including housing, pension, medical, maternity, work-related injury and unemployment benefit plans, under which we make contributions at specified percentages of the salaries of our employees. We also purchase commercial health and accidental insurance for our employees. Bonuses are generally discretionary and based in part on employee performance and in part on the overall performance of our business. We have granted and plan to continue to grant share-based incentive awards to our employees in the future to incentivize their contributions to our growth and development.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of this annual report, we have not experienced any labor strikes or other material labor disputes that have affected our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have a good relationship with our employees.</w:t>
      </w:r>
    </w:p>
    <w:p>
      <w:pPr>
        <w:spacing w:after="0" w:line="2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SHARE OWNERSHIP</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on an as-converted basis as of February 28, 2026 by:</w:t>
      </w:r>
    </w:p>
    <w:p>
      <w:pPr>
        <w:spacing w:after="0" w:line="162" w:lineRule="exact"/>
        <w:rPr>
          <w:sz w:val="20"/>
          <w:szCs w:val="20"/>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principal shareholders who beneficially own 5% or more of our total outstanding ordinary shares.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calculations in the table below are based on 2,859,426,766 ordinary shares issued and outstanding as of February 28, 2026, including 2,516,653,606 Class A ordinary shares and 342,773,160 Class B ordinary shares.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Ordinary Shares Beneficially Owned</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03"/>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rPr>
              <w:t>% of</w:t>
            </w:r>
          </w:p>
        </w:tc>
        <w:tc>
          <w:tcPr>
            <w:tcW w:w="11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160" w:type="dxa"/>
            <w:vAlign w:val="bottom"/>
          </w:tcPr>
          <w:p>
            <w:pPr>
              <w:spacing w:after="0"/>
              <w:rPr>
                <w:sz w:val="17"/>
                <w:szCs w:val="17"/>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Class B</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Voting</w:t>
            </w:r>
          </w:p>
        </w:tc>
      </w:tr>
      <w:tr>
        <w:trPr>
          <w:trHeight w:val="277"/>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2"/>
              </w:rPr>
              <w:t>Power</w:t>
            </w:r>
            <w:r>
              <w:rPr>
                <w:rFonts w:ascii="Times New Roman" w:cs="Times New Roman" w:eastAsia="Times New Roman" w:hAnsi="Times New Roman"/>
                <w:sz w:val="29"/>
                <w:szCs w:val="29"/>
                <w:b w:val="1"/>
                <w:bCs w:val="1"/>
                <w:color w:val="auto"/>
                <w:w w:val="92"/>
                <w:vertAlign w:val="superscript"/>
              </w:rPr>
              <w:t>†††</w:t>
            </w:r>
          </w:p>
        </w:tc>
        <w:tc>
          <w:tcPr>
            <w:tcW w:w="160" w:type="dxa"/>
            <w:vAlign w:val="bottom"/>
            <w:tcBorders>
              <w:bottom w:val="single" w:sz="8" w:color="CCEEFF"/>
            </w:tcBorders>
          </w:tcPr>
          <w:p>
            <w:pPr>
              <w:spacing w:after="0"/>
              <w:rPr>
                <w:sz w:val="24"/>
                <w:szCs w:val="24"/>
                <w:color w:val="auto"/>
              </w:rPr>
            </w:pPr>
          </w:p>
        </w:tc>
      </w:tr>
      <w:tr>
        <w:trPr>
          <w:trHeight w:val="257"/>
        </w:trPr>
        <w:tc>
          <w:tcPr>
            <w:tcW w:w="45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Jinhong Deng</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506,052,533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342,773,160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848,825,693</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75.79%</w:t>
            </w:r>
          </w:p>
        </w:tc>
      </w:tr>
      <w:tr>
        <w:trPr>
          <w:trHeight w:val="257"/>
        </w:trPr>
        <w:tc>
          <w:tcPr>
            <w:tcW w:w="4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Min Liu</w:t>
            </w:r>
            <w:r>
              <w:rPr>
                <w:rFonts w:ascii="Times New Roman" w:cs="Times New Roman" w:eastAsia="Times New Roman" w:hAnsi="Times New Roman"/>
                <w:sz w:val="29"/>
                <w:szCs w:val="29"/>
                <w:color w:val="auto"/>
                <w:vertAlign w:val="superscript"/>
              </w:rPr>
              <w:t>(2)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27,794,869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74,986,698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102,781,567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Shijie Chen</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10,086,314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10,086,314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r>
      <w:tr>
        <w:trPr>
          <w:trHeight w:val="257"/>
        </w:trPr>
        <w:tc>
          <w:tcPr>
            <w:tcW w:w="4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Zhijia Liu</w:t>
            </w:r>
            <w:r>
              <w:rPr>
                <w:rFonts w:ascii="Times New Roman" w:cs="Times New Roman" w:eastAsia="Times New Roman" w:hAnsi="Times New Roman"/>
                <w:sz w:val="29"/>
                <w:szCs w:val="29"/>
                <w:color w:val="auto"/>
                <w:vertAlign w:val="superscript"/>
              </w:rPr>
              <w:t>(4)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6,028,739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26,772,357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32,801,096</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 Zhou</w:t>
            </w:r>
            <w:r>
              <w:rPr>
                <w:rFonts w:ascii="Times New Roman" w:cs="Times New Roman" w:eastAsia="Times New Roman" w:hAnsi="Times New Roman"/>
                <w:sz w:val="29"/>
                <w:szCs w:val="29"/>
                <w:color w:val="auto"/>
                <w:vertAlign w:val="superscript"/>
              </w:rPr>
              <w:t>(5)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3,171,797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9,846,370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13,018,167</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 Zhang</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Xinghong Hua</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Xiaowei Wang</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Xu Deng</w:t>
            </w:r>
            <w:r>
              <w:rPr>
                <w:rFonts w:ascii="Times New Roman" w:cs="Times New Roman" w:eastAsia="Times New Roman" w:hAnsi="Times New Roman"/>
                <w:sz w:val="29"/>
                <w:szCs w:val="29"/>
                <w:color w:val="auto"/>
                <w:vertAlign w:val="superscript"/>
              </w:rPr>
              <w:t>(6)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9,987,000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9,987,000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526,125,847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342,773,160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868,899,007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75.84%</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6"/>
        </w:trPr>
        <w:tc>
          <w:tcPr>
            <w:tcW w:w="4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Yimutian Holdings Limited</w:t>
            </w:r>
            <w:r>
              <w:rPr>
                <w:rFonts w:ascii="Times New Roman" w:cs="Times New Roman" w:eastAsia="Times New Roman" w:hAnsi="Times New Roman"/>
                <w:sz w:val="29"/>
                <w:szCs w:val="29"/>
                <w:color w:val="auto"/>
                <w:vertAlign w:val="superscript"/>
              </w:rPr>
              <w:t>(1)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44,245,706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231,167,735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275,413,441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49.80%</w:t>
            </w:r>
          </w:p>
        </w:tc>
      </w:tr>
      <w:tr>
        <w:trPr>
          <w:trHeight w:val="257"/>
        </w:trPr>
        <w:tc>
          <w:tcPr>
            <w:tcW w:w="4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HSG</w:t>
            </w:r>
            <w:r>
              <w:rPr>
                <w:rFonts w:ascii="Times New Roman" w:cs="Times New Roman" w:eastAsia="Times New Roman" w:hAnsi="Times New Roman"/>
                <w:sz w:val="29"/>
                <w:szCs w:val="29"/>
                <w:color w:val="auto"/>
                <w:vertAlign w:val="superscript"/>
              </w:rPr>
              <w:t>(7)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430,257,574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430,257,574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4.59%</w:t>
            </w:r>
          </w:p>
        </w:tc>
      </w:tr>
      <w:tr>
        <w:trPr>
          <w:trHeight w:val="256"/>
        </w:trPr>
        <w:tc>
          <w:tcPr>
            <w:tcW w:w="4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Wise Prime International Limited</w:t>
            </w:r>
            <w:r>
              <w:rPr>
                <w:rFonts w:ascii="Times New Roman" w:cs="Times New Roman" w:eastAsia="Times New Roman" w:hAnsi="Times New Roman"/>
                <w:sz w:val="29"/>
                <w:szCs w:val="29"/>
                <w:color w:val="auto"/>
                <w:vertAlign w:val="superscript"/>
              </w:rPr>
              <w:t>(8)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255,491,541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255,491,541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w:t>
            </w:r>
          </w:p>
        </w:tc>
      </w:tr>
      <w:tr>
        <w:trPr>
          <w:trHeight w:val="257"/>
        </w:trPr>
        <w:tc>
          <w:tcPr>
            <w:tcW w:w="4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Passion Stream Investment Limited</w:t>
            </w:r>
            <w:r>
              <w:rPr>
                <w:rFonts w:ascii="Times New Roman" w:cs="Times New Roman" w:eastAsia="Times New Roman" w:hAnsi="Times New Roman"/>
                <w:sz w:val="29"/>
                <w:szCs w:val="29"/>
                <w:color w:val="auto"/>
                <w:vertAlign w:val="superscript"/>
              </w:rPr>
              <w:t>(9)</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207,632,859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207,632,859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r>
      <w:tr>
        <w:trPr>
          <w:trHeight w:val="256"/>
        </w:trPr>
        <w:tc>
          <w:tcPr>
            <w:tcW w:w="4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Win-Chain Agribusiness Holdings Limited</w:t>
            </w:r>
            <w:r>
              <w:rPr>
                <w:rFonts w:ascii="Times New Roman" w:cs="Times New Roman" w:eastAsia="Times New Roman" w:hAnsi="Times New Roman"/>
                <w:sz w:val="29"/>
                <w:szCs w:val="29"/>
                <w:color w:val="auto"/>
                <w:vertAlign w:val="superscript"/>
              </w:rPr>
              <w:t>(10)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203,044,751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203,044,751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w:t>
            </w:r>
          </w:p>
        </w:tc>
      </w:tr>
      <w:tr>
        <w:trPr>
          <w:trHeight w:val="257"/>
        </w:trPr>
        <w:tc>
          <w:tcPr>
            <w:tcW w:w="4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CGC Moon Walk Limited</w:t>
            </w:r>
            <w:r>
              <w:rPr>
                <w:rFonts w:ascii="Times New Roman" w:cs="Times New Roman" w:eastAsia="Times New Roman" w:hAnsi="Times New Roman"/>
                <w:sz w:val="29"/>
                <w:szCs w:val="29"/>
                <w:color w:val="auto"/>
                <w:vertAlign w:val="superscript"/>
              </w:rPr>
              <w:t>(11)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193,633,870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193,633,870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r>
      <w:tr>
        <w:trPr>
          <w:trHeight w:val="201"/>
        </w:trPr>
        <w:tc>
          <w:tcPr>
            <w:tcW w:w="46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Beijing Fengmu Enterprise Consulting Center (Limited</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94"/>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Partnership)</w:t>
            </w:r>
            <w:r>
              <w:rPr>
                <w:rFonts w:ascii="Times New Roman" w:cs="Times New Roman" w:eastAsia="Times New Roman" w:hAnsi="Times New Roman"/>
                <w:sz w:val="29"/>
                <w:szCs w:val="29"/>
                <w:color w:val="auto"/>
                <w:vertAlign w:val="superscript"/>
              </w:rPr>
              <w:t>(12)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404,876,247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404,876,247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78308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otherwise below, the business address of our directors and executive officers is Building B-6, Block A, Zhongguancun Dongsheng Technology Campus, No. 66 Xixiaokou Road, Haidian District, Beijing 100192, the People’s Republic of China.</w:t>
      </w:r>
    </w:p>
    <w:p>
      <w:pPr>
        <w:spacing w:after="0" w:line="162" w:lineRule="exact"/>
        <w:rPr>
          <w:sz w:val="20"/>
          <w:szCs w:val="20"/>
          <w:color w:val="auto"/>
        </w:rPr>
      </w:pPr>
    </w:p>
    <w:p>
      <w:pPr>
        <w:jc w:val="both"/>
        <w:ind w:left="340" w:hanging="332"/>
        <w:spacing w:after="0" w:line="266"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ownership is calculated by dividing the number of shares beneficially owned by such person or group by the sum of the total number of shares outstanding and the number of shares such person or group has the right to acquire upon exercise of option, warrant or other right within 60 days after February 28,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9" w:name="page130"/>
    <w:bookmarkEnd w:id="129"/>
    <w:p>
      <w:pPr>
        <w:jc w:val="both"/>
        <w:ind w:left="340" w:hanging="332"/>
        <w:spacing w:after="0" w:line="253"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our pre-listing memorandum and articles of association, as amended and restated from time to time, each ordinary share directly or indirectly held by Mr. Jinhong Deng, Mr. Min Liu, Mr. Bailin Song, Mr. Zhijia Liu and Mr. Mi Zhou (the “Founding Shareholders Group,” and such ordinary shares, collectively, the “Super Voting Shares”) is entitled to twenty votes per share. In general, the super voting rights attached to such Super Voting Shares shall terminate upon resignation of the members of the Founding Shareholders Group, among other conditions. Each share other than the Super Voting Shares is entitled to one vote per share. As Mr. Bailin Song resigned as our senior vice president effective as of August 2021, each ordinary share beneficially owned by Mr. Bailin Song is entitled to one vote per share. Pursuant to the powers of attorneys signed in 2016 by each of the members of the Founding Shareholders Group other than Mr. Jinhong Deng, and each of Mr. Haiyan Gao and Mr. Ming Gu who are beneficial owners of certain shares of our company, each of the foregoing individuals agreed to delegate Mr. Jinhong Deng to exercise the voting rights attached to the shares they beneficially own on their behalf in meetings of shareholders, unless doing so would, among others, result in violation of law or the organizational documents of our company.</w:t>
      </w:r>
    </w:p>
    <w:p>
      <w:pPr>
        <w:spacing w:after="0" w:line="194" w:lineRule="exact"/>
        <w:rPr>
          <w:sz w:val="20"/>
          <w:szCs w:val="20"/>
          <w:color w:val="auto"/>
        </w:rPr>
      </w:pPr>
    </w:p>
    <w:p>
      <w:pPr>
        <w:jc w:val="both"/>
        <w:ind w:left="340" w:hanging="332"/>
        <w:spacing w:after="0" w:line="258"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or group included in this column, percentage of total voting power represents voting power based on both Class A and Class B ordinary shares held by such person or group with respect to all outstanding shares of our Class A and Class B ordinary shares as a single class. Each holder of our Class B ordinary shares is entitled to twenty (20) votes per share. Each holder of our Class A ordinary shares is entitled to one vote per share. Our Class B ordinary shares are convertible at any time by the holder into Class A ordinary shares on a one-for-one basis, while Class A ordinary shares are not convertible into Class B ordinary shares under any circumstances.</w:t>
      </w:r>
    </w:p>
    <w:p>
      <w:pPr>
        <w:spacing w:after="0" w:line="183" w:lineRule="exact"/>
        <w:rPr>
          <w:sz w:val="20"/>
          <w:szCs w:val="20"/>
          <w:color w:val="auto"/>
        </w:rPr>
      </w:pPr>
    </w:p>
    <w:p>
      <w:pPr>
        <w:jc w:val="both"/>
        <w:ind w:left="340" w:hanging="332"/>
        <w:spacing w:after="0" w:line="253"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Class A ordinary shares beneficially owned by Mr. Deng includes (i) 44,245,706 Class A ordinary shares held by Yimutian Holdings Limited, a British Virgin Island company wholly owned by Mr. Jinhong Deng, (ii) 267,904,639 Class A ordinary shares that Mr. Deng has the right to acquire upon exercise of share options within 60 days of February 28, 2026, (iii) an aggregate of 120,962,135 Class A ordinary shares beneficially owned by Mr. Bailin Song, Mr. Haiyan Gao and Mr. Ming Gu, and (iv) an aggregate of 72,940,053 Class A ordinary shares beneficially owned by Mr. Min Liu, Mr. Bailin Song, Mr. Zhijia Liu and Mr. Mi Zhou that they have the right to acquire upon exercise of share options within 60 days of February 28, 2026. The number of Class B ordinary shares beneficially owned by Mr. Deng includes (i) 231,167,735 Class B ordinary shares held by Yimutian Holdings Limited and (ii) an aggregate of 111,605,425 Class B ordinary shares beneficially owned by Mr. Min Liu, Mr. Zhijia Liu and Mr. Mi Zhou. Pursuant to the powers of attorneys signed in 2016 by each of the foregoing individuals other than Mr. Deng, Mr. Deng has the right to exercise the voting rights attached to the shares they beneficially own on their behalf in meetings of shareholders, unless doing so would, among others, result in violation of law or the organizational documents of our company. The registered office of Yimutian Holdings Limited is Start Chambers, Wickham’s Cay II, P. O. Box 2221, Road Town, Tortola, British Virgin Islands.</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74,986,698 Class B ordinary shares held by YMT Tech Holdings Limited, a British Virgin Island company wholly owned by Mr. Min Liu and (ii) 27,794,869 Class A ordinary shares that Mr. Min Liu has the right to acquire upon exercise of share options within 60 days of February 28, 2026. The registered office of YMT Tech Holdings Limited is Start Chambers, Wickham’s Cay II, P. O. Box 2221, Road Town, Tortola, British Virgin Islands.</w:t>
      </w:r>
    </w:p>
    <w:p>
      <w:pPr>
        <w:spacing w:after="0" w:line="1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10,086,314 Class A ordinary shares that Mr. Shijie Chen has the right to acquire upon exercise of share options within 60 days of February 28, 2026.</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26,772,357 Class B ordinary shares held by YMT 360 Holdings Limited, a British Virgin Island company wholly owned by Mr. Zhijia Liu, and (ii) 6,028,739 Class A ordinary shares that Mr. Zhijia Liu has the right to acquire upon exercise of share options within 60 days of February 28, 2026. The registered office of YMT 360 Holdings Limited is Start Chambers, Wickham’s Cay II, P. O. Box 2221, Road Town, Tortola, British Virgin Islands.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9,846,370 Class B ordinary shares held by YMT Innovation Holdings Limited, a British Virgin Island company wholly owned by Mr. Mi Zhou and (ii) 3,171,797 Class A ordinary shares that Mr. Mi Zhou has the right to acquire upon exercise of share options within 60 days of February 28, 2026. The registered office of YMT Innovation Holdings Limited Start Chambers, Wickham’s Cay II, P. O. Box 2221, Road Town, Tortola, British Virgin Islands.</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9,987,000 Class A ordinary shares that Mr. Xu Deng has the right to acquire upon exercise of share options within 60 days of February 28, 2026.</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430,257,574 Class A ordinary shares held by HSG CV IV Holdco, Ltd., or HSG, an exempted company with limited liability incorporated under the laws of the Cayman Islands. The sole shareholder of HSG CV IV Holdco, Ltd. is HSG CV IV Senior Holdco, Ltd., which is wholly owned by HongShan Capital Venture Fund IV, L.P. The general partner of HongShan Capital Venture Fund IV, L.P. is HSG Venture IV Management, L.P., whose general partner is HSG Holding Limited. HSG Holding Limited is wholly owned by SNP China Enterprises Limited, which in turn is wholly owned by Neil Nanpeng Shen. The registered address of HSG CV IV Holdco, Ltd. is PO Box 309, Ugland House, Grand Cayman, KY1-1104, Cayman Islands.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0" w:name="page131"/>
    <w:bookmarkEnd w:id="130"/>
    <w:p>
      <w:pPr>
        <w:jc w:val="both"/>
        <w:ind w:left="340" w:hanging="332"/>
        <w:spacing w:after="0" w:line="261"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255,491,541 Class A ordinary shares held by Wise Prime International Limited, a company incorporated in British Virgin Island. Wise Prime International Co., Limited is wholly owned by Prime Agrifood Investment Limited, which is wholly owned by Jiefang Ji. The registered office of Wise Prime International Limited is the offices of OVERSEAS MANAGEMENT COMPANY TRUST (B.V.I.) LTD., OMC Chambers, PO Box 3152, Road Town, Tortola, British Virgin Islands.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207,632,859 Class A ordinary shares held by Passion Stream Investment Limited, a company incorporated in Cayman Island. Passion Stream Investment Limited is wholly owned by 19 Growth Capital Fund. The general partner of 19 Growth Capital Fund is John Buckley. The registered office of Passion Stream Investment Limited is 190 Elgin Avenue, George Town, Grand Cayman KY1-9005, Cayman Islands.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203,044,751 Class A ordinary shares held by Win-Chain Agribusiness Holdings Limited, a company incorporated in Hong Kong, which is wholly owned by Shanghai ExFresh Supply Chain Management Co., Limited, a wholly owned subsidiary of XiGuo Partnership. Shanghai Yuxia Corporate Consulting Center (Limited Partnership) is a limited partner of XiGuo Partnership holding 37.63% partnership share in XiGuo Partnership. The general partner of Shanghai Yuxia Corporate Consulting Center (Limited Partnership) is Yidongli (Shanghai) information Consulting Co., Limited, which is wholly owned by Yu Zhang and his wife Jiefang Ji, collectively. The registered office of Win-Chain Agribusiness Holdings Limited is RM 1907, 19/F Lee Garden One, 33 Hysan Avenue, Causeway Bay, Hong Kong.</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193,633,870 Class A ordinary shares held by CGC Moon Walk Limited, a limited liability company incorporated in Hong Kong. CGC Moon Walk Limited is wholly owned by CGC Asia Growth Fund III, L.P., a limited partnership incorporated in Hong Kong. The general partner of CGC Asia Growth Fund III, L.P. is CGC International Group Limited. CGC International Group Limited is wholly owned by CGC Evergreen Limited. CGC Evergreen Limited is wholly owned by Dafei Chen. The registered address of CGC Moon Walk Limited is Suite 1113A, 11/F Ocean Ctr, Harbour City, 5 Canton Rd Tst Kln, Hong Kong.</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404,876,247 Class A ordinary shares held by Beijing Fengmu Enterprise Consulting Center (Limited Partnership), a limited partnership incorporated in People’s Republic of China. The general partner of Beijing Fengmu Enterprise Consulting Center (Limited Partnership) is Shanghai Yunfeng Equity Investment Management Center (Limited Partnership). The general partner of Shanghai Yunfeng Equity Investment Management Center (Limited Partnership) is Shanghai Yunfeng Enterprise Management Co., Ltd, which is controlled by Xuedong Yu. The registered address of Beijing Fengmu Enterprise Consulting Center (Limited Partnership) is 01-3239, 1F, Building 413, Jingzhou Garden, Beijing, People’s Republic of China.</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our knowledge, as of February 28, 2026, a total of 956,429,050 Class A ordinary shares are held by one record holder in the United States— JPMorgan Chase Bank, N.A., the depositary of our ADS program. None of our shareholders has informed us that it is affiliated with a member of Financial Industry Regulatory Authority, or FINRA.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221" w:lineRule="exact"/>
        <w:rPr>
          <w:sz w:val="20"/>
          <w:szCs w:val="20"/>
          <w:color w:val="auto"/>
        </w:rPr>
      </w:pPr>
    </w:p>
    <w:p>
      <w:pPr>
        <w:ind w:left="660" w:right="1960" w:hanging="652"/>
        <w:spacing w:after="0" w:line="537" w:lineRule="auto"/>
        <w:tabs>
          <w:tab w:leader="none" w:pos="336"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OF A REGISTRANT’S ACTION TO RECOVER ERRONEOUSLY AWARDED COMPENSATION </w:t>
      </w: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1" w:name="page132"/>
    <w:bookmarkEnd w:id="13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Employees—E. Share Ownership.”</w:t>
      </w:r>
    </w:p>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Employees—B. Compensation of Directors and Executive Officers—Employment Agreements and Indemnification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 of Directors and Executive Officers—Share Incentive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Amounts due from related parties represent interest free loans we provided to a preferred shareholder and certain entities controlled by a preferred shareholder. All the loans were due on demand. In 2019, we provided interest free loans of RMB12.3 million to certain entities controlled by a preferred shareholder. In December 2023 and 2024, we received the repayment of RMB5.0 million and RMB1.5 million. The remaining balance was agreed to be settled by shareholders under an agreement signed in 2024. In June 2021, we provided an interest free loan to a preferred shareholder of US$0.5 million (equivalent to RMB3.1 million). As of December 31, 2023, 2024 and 2025, the amount due from the preferred shareholder was RMB3.4 million, RMB3.4 million and RMB3.4 million (US$480 thousand), respectively.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Amounts due to related parties included (i) the payables related to cash collected on behalf of our equity investee of RMB18.0 million, RMB9.5 million and nil as of December 31, 2023, 2024 and 2025 and we made a repayment of RMB8.5 million and RMB9.5 million (US$1.4 million) in 2024 and 2025, respectively, and (ii) the payables related to the repurchase the Company’s preferred shares of RMB3.5 million, RMB3.6 million and RMB3.5 million (US$502 thousand) as of December 31, 2023, 2024 and 2025, respectively.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principal of Series C ODI convertible loan issued by us was RMB42.0 million. Upon the investor’s exercise of the warrant and our issuance of preferred shares to the investor, we partially repaid Series C ODI convertible loan of RMB27.0 million in 2021 and entered into a new interest free shareholder loan agreement with the investor in the amount of RMB15.0 million in 2022, which is due on demand. In 2023, 2024 and 2025, we repaid RMB2.0 million, RMB0.5 million, and nil to the investor, respectively. As of December 31, 2023, 2024 and 2025, RMB13.0 million, RMB12.5 million and RMB12.5 million (US$1.8 million) of the convertible loan was outstanding, respectively.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2021, we borrowed interest free loans of RMB1.2 million from our founder, Jinhong Deng, and US$0.2 million (equivalent to RMB1.0 million) from a preferred shareholder. In 2023, we borrowed interest free loans in the total amount of RMB14.2 million from our founder and repaid RMB4.6 million. In 2024, we borrowed interest free loans in the total amount of RMB28.3 million from our founder and repaid RMB0.5 million. As of December 31, 2025, we borrowed interest free loans in the total amount of RMB28.9 million (US$4.1 million) from our founder and repaid RMB8.7 million (US$1.2 million). Such loans are due on demand. As of December 31, 2023, 2024 and 2025, RMB21.2 million, RMB49.6 million and RMB69.8 million (US$10.0 million) of interest free loans from our founder and the preferred shareholder was outstanding, respectively.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2023, we borrowed interest free loans of RMB6.9 million from an entities controlled by a preferred shareholder and repaid the loans in full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current shareholders agreement entered into on May 8, 2021, we have granted certain registration rights to our shareholders. Set forth below is a description of the registration rights granted under the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2" w:name="page133"/>
    <w:bookmarkEnd w:id="132"/>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Demand Registration Other Than on Form F-3 or Form S-3. </w:t>
      </w:r>
      <w:r>
        <w:rPr>
          <w:rFonts w:ascii="Times New Roman" w:cs="Times New Roman" w:eastAsia="Times New Roman" w:hAnsi="Times New Roman"/>
          <w:sz w:val="18"/>
          <w:szCs w:val="18"/>
          <w:color w:val="auto"/>
        </w:rPr>
        <w:t>At any time or from time to time after the date that is six months after the closing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IPO, holders of registrable securities holding 20% or more of the voting power of the then outstanding registrable securities held by all holders of registrable securities may request in writing that our company effect a registration of registrable securities. Upon receipt of such a request, our company shall (x) promptly give written notice of the proposed registration to all other holders of registrable securities and (y) as soon as practicable, use our reasonable best efforts to cause the registrable securities specified in the request, together with any registrable securities of any holders of registrable securities who requests in writing to join such registration within 15 days after our company’s delivery of written notice, to be registered and/or qualified for sale and distribution in such jurisdiction as the initiating holders may request. Our company shall be obligated to consummate no more than two registrations that have been declared and ordered effective; provided that if the registrable securities sought to be included in the registration are not fully included in the registration due to the fault of our company, such registration shall not be deemed to constitute one of the registration rights granted.</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Demand Registration on Form F-3 or Form S-3. </w:t>
      </w:r>
      <w:r>
        <w:rPr>
          <w:rFonts w:ascii="Times New Roman" w:cs="Times New Roman" w:eastAsia="Times New Roman" w:hAnsi="Times New Roman"/>
          <w:sz w:val="18"/>
          <w:szCs w:val="18"/>
          <w:color w:val="auto"/>
        </w:rPr>
        <w:t>Our company shall use its best efforts to qualify for registration on Form F-3 or Form S-3. If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qualifies for registration on Form F-3 or Form S-3 (or any comparable form for registration in a jurisdiction other than the United States), holders of registrable securities holding 20% or more of the voting power of the then outstanding registrable securities held by all holders of registrable securities may request our company to file, in any jurisdiction in which our company has had a registered underwritten public offering, a Registration Statement on Form F-3 or Form S-3 (or any comparable form for Registration in a jurisdiction other than the United States), including without limitation any registration statement filed under the Securities Act providing for the registration of, and the sale on a continuous or a delayed basis by the holders of registrable securities of, all of the registrable securities pursuant to Rule 415 under the Securities Act and/or any similar rule that may be adopted by the SEC. Upon receipt of such a request, our company shall (i) promptly give written notice of the proposed registration to all other holders of registrable securities and</w:t>
      </w:r>
    </w:p>
    <w:p>
      <w:pPr>
        <w:spacing w:after="0" w:line="3" w:lineRule="exact"/>
        <w:rPr>
          <w:sz w:val="20"/>
          <w:szCs w:val="20"/>
          <w:color w:val="auto"/>
        </w:rPr>
      </w:pPr>
    </w:p>
    <w:p>
      <w:pPr>
        <w:jc w:val="both"/>
        <w:ind w:firstLine="8"/>
        <w:spacing w:after="0" w:line="253" w:lineRule="auto"/>
        <w:tabs>
          <w:tab w:leader="none" w:pos="26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use our reasonable best efforts to cause the registrable securities specified in the request, together with any registrable securities of any holder who requests in writing to join such registration within 15 days after our company’s delivery of written notice, to be registered and qualified for sale and distribution in such jurisdiction. Our company shall be obligated to consummate no more than two registrations that have been declared and ordered effective within any 12-month period; provided that if the registrable securities sought to be included in the registration are not fully included in such registration due to the fault of our company, such registration shall not be deemed to constitute one of the registration rights granted.</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Piggyback Registrations. </w:t>
      </w:r>
      <w:r>
        <w:rPr>
          <w:rFonts w:ascii="Times New Roman" w:cs="Times New Roman" w:eastAsia="Times New Roman" w:hAnsi="Times New Roman"/>
          <w:sz w:val="18"/>
          <w:szCs w:val="18"/>
          <w:color w:val="auto"/>
        </w:rPr>
        <w:t>If our company proposes to register for our own account any of our equity securities, or for the account of any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a holder of registrable securities) of equity securities any of such holder’s equity securities, in connection with the public offering of such securities (except for exempt registrations), our company shall promptly give each holder of registrable securities written notice of such registration and, upon the written request of any holder of registrable securities given within 15 days after delivery of such notice, our company shall use reasonable best efforts to include in such registration any registrable securities thereby requested to be registered by such holder of registrable securities. If a holder of registrable securities decides not to include all or any of its registrable securities in such registration by our company, such holder of registrable securities shall nevertheless continue to have the right to include any registrable securities in any subsequent registration statement or registration statements as may be filed by our company.</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Expense of Registration. </w:t>
      </w:r>
      <w:r>
        <w:rPr>
          <w:rFonts w:ascii="Times New Roman" w:cs="Times New Roman" w:eastAsia="Times New Roman" w:hAnsi="Times New Roman"/>
          <w:sz w:val="18"/>
          <w:szCs w:val="18"/>
          <w:color w:val="auto"/>
        </w:rPr>
        <w:t>We will bear all registration expenses, other than the underwriting discounts and selling commissions applicable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of registrable securities pursuant to the current shareholders agreement, subject to certain limitations.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Termination of Registration Rights. </w:t>
      </w:r>
      <w:r>
        <w:rPr>
          <w:rFonts w:ascii="Times New Roman" w:cs="Times New Roman" w:eastAsia="Times New Roman" w:hAnsi="Times New Roman"/>
          <w:sz w:val="18"/>
          <w:szCs w:val="18"/>
          <w:color w:val="auto"/>
        </w:rPr>
        <w:t>Our shareholders’ registration rights shall terminate on the earlier of (i) the date that is five years from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closing of IPO, (ii) with respect to any Holder, the date on which such shareholder may sell all of such shareholder’s registrable securities under Rule 144 of the Securities Act in any 90-day period.</w:t>
      </w:r>
    </w:p>
    <w:p>
      <w:pPr>
        <w:spacing w:after="0" w:line="171" w:lineRule="exact"/>
        <w:rPr>
          <w:sz w:val="20"/>
          <w:szCs w:val="20"/>
          <w:color w:val="auto"/>
        </w:rPr>
      </w:pPr>
    </w:p>
    <w:p>
      <w:pPr>
        <w:ind w:left="660" w:right="7380" w:hanging="652"/>
        <w:spacing w:after="0" w:line="537" w:lineRule="auto"/>
        <w:tabs>
          <w:tab w:leader="none" w:pos="336"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33" w:name="page134"/>
    <w:bookmarkEnd w:id="13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from time to time be subject to various legal or administrative claims and proceedings arising in the ordinary course of our business. We are currently not a party to any material legal or administrative proceedings.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Litigation or any other legal or administrative proceeding, regardless of the outcome, is likely to result in substantial costs and diversion of our resources, including our management’s time and attention. See “Item 3. Key Information—D. Risk Factors—Risks Related to Our Business and Industry— We, and our directors and officer, may be involved in legal and/or regulatory proceedings that are expensive and time consuming and, if resolved adversely, that may materially adversely affect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account, and provided always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not declared or paid any dividends. We do not have any present plan to pay any cash dividends on our ordinary shares in the foreseeable future. We currently intend to retain most, if not all, of our available funds and any future earnings to operate and expand our business.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subsidiaries in mainland China for our cash requirements, including any payment of dividends to our shareholders. Mainland China’s regulations may restrict the ability of our mainland China subsidiaries to pay dividends to us. See “Item 4. Information on the Company—B. Business Overview—Regulations—Regulations Relating to Foreign Exchange.”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which are payable in respect of the underlying Class A ordinary shares represented by the ADSs to the depositary, as the registered holder of such Class A ordinary shares, and the depositary then will pay such amounts to the ADS holders in proportion to the underlying Class A ordinary shares represented by the ADSs held by such ADS holders, subject to the terms of the deposit agreement, including the fees and expenses payable thereunder. See “Item 12. Description of Securities Other Than Equity Securities—D. American Depositary Shares.” Cash dividends on our ordinary shares, if any, will be paid in U.S. dollars.</w:t>
      </w:r>
    </w:p>
    <w:p>
      <w:pPr>
        <w:spacing w:after="0" w:line="1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SIGNIFICANT CHANGES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4" w:name="page135"/>
    <w:bookmarkEnd w:id="13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225" w:lineRule="exact"/>
        <w:rPr>
          <w:sz w:val="20"/>
          <w:szCs w:val="20"/>
          <w:color w:val="auto"/>
        </w:rPr>
      </w:pPr>
    </w:p>
    <w:p>
      <w:pPr>
        <w:ind w:left="660" w:right="7860" w:hanging="652"/>
        <w:spacing w:after="0" w:line="500" w:lineRule="auto"/>
        <w:tabs>
          <w:tab w:leader="none" w:pos="336"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OFFERING AND LISTING DETAILS. </w:t>
      </w:r>
      <w:r>
        <w:rPr>
          <w:rFonts w:ascii="Times New Roman" w:cs="Times New Roman" w:eastAsia="Times New Roman" w:hAnsi="Times New Roman"/>
          <w:sz w:val="18"/>
          <w:szCs w:val="18"/>
          <w:color w:val="auto"/>
        </w:rPr>
        <w:t>See “—C. Markets.”</w:t>
      </w:r>
    </w:p>
    <w:p>
      <w:pPr>
        <w:spacing w:after="0" w:line="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ADSs, each representing twenty-five (25) Class A ordinary shares, have been listed on the Nasdaq Global Market under the symbol “YMT” since August 20, 2025.</w:t>
      </w:r>
    </w:p>
    <w:p>
      <w:pPr>
        <w:spacing w:after="0" w:line="158" w:lineRule="exact"/>
        <w:rPr>
          <w:sz w:val="20"/>
          <w:szCs w:val="20"/>
          <w:color w:val="auto"/>
        </w:rPr>
      </w:pPr>
    </w:p>
    <w:p>
      <w:pPr>
        <w:ind w:left="660" w:right="8560" w:hanging="652"/>
        <w:spacing w:after="0" w:line="530" w:lineRule="auto"/>
        <w:tabs>
          <w:tab w:leader="none" w:pos="336"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ind w:left="340" w:hanging="332"/>
        <w:spacing w:after="0"/>
        <w:tabs>
          <w:tab w:leader="none" w:pos="3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right="8700" w:hanging="652"/>
        <w:spacing w:after="0" w:line="500" w:lineRule="auto"/>
        <w:tabs>
          <w:tab w:leader="none" w:pos="336"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5" w:lineRule="exact"/>
        <w:rPr>
          <w:sz w:val="20"/>
          <w:szCs w:val="20"/>
          <w:color w:val="auto"/>
        </w:rPr>
      </w:pPr>
    </w:p>
    <w:p>
      <w:pPr>
        <w:jc w:val="right"/>
        <w:ind w:left="660" w:right="9440" w:hanging="652"/>
        <w:spacing w:after="0" w:line="582" w:lineRule="auto"/>
        <w:tabs>
          <w:tab w:leader="none" w:pos="336"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5" w:name="page136"/>
    <w:bookmarkEnd w:id="135"/>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MEMORANDUM AND ARTICLES OF ASSOCIATION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currently effective memorandum and articles of association and the Companies Act insofar as they relate to the material terms of our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Objects of Our Company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our currently effective memorandum and articles of association, the objects of our company are unrestricted and we have the full power and authority to carry out any object not prohibited by the Cayman Islands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Our authorized share capital is US$200,000 divided into 16,000,000,000 Class A ordinary shares, with a par value of US$0.00001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800,000,000 Class B ordinary shares of a par value of US$0.00001 each. Holders of Class A ordinary shares and Class B ordinary shares will have the same rights except for voting and conversion rights. All of our issued and outstanding ordinary shares are fully paid and non-assessable. Certificates representing the ordinary shares are issued in registered form. We may not issue share to bearer. Our shareholders who are nonresidents of the Cayman Islands may freely hold and transfer their ordinary shares.</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Each Class B ordinary share is convertible into one Class A ordinary share at any time at the option of the holder thereof.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are not convertible into Class B ordinary shares under any circumstances.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of directors subject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and articles of association and the Companies Act. In addition, our shareholders may by ordinary resolution declare a dividend, but no dividend may exceed the amount recommended by our directors. Our memorandum and articles of association provide that dividends may be declared and paid out of the funds of the Company lawfully available therefor. Dividends may also be declared and paid out of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Voting Rights; Meeting of Shareholders. </w:t>
      </w:r>
      <w:r>
        <w:rPr>
          <w:rFonts w:ascii="Times New Roman" w:cs="Times New Roman" w:eastAsia="Times New Roman" w:hAnsi="Times New Roman"/>
          <w:sz w:val="18"/>
          <w:szCs w:val="18"/>
          <w:color w:val="auto"/>
        </w:rPr>
        <w:t>In respect of all matters subject to a shareholders’ vote, holders of ordinary shares shall, at all times,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all matters submitted to a vote by the members at any such general meeting. Each Class B ordinary share shall be entitled to twenty (20) votes on all matters subject to the vote at general meetings of our company, and each Class A ordinary share shall be entitled to one vote on all matters subject to the vote at general meetings (including extraordinary general meetings) of our company. At any general meeting a resolution put to the vote of the meeting shall be decided on a poll, save that the chairman of the meeting may, in good faith, allow a resolution which relates purely to a procedural or administrative matter to be voted on by a show of hands.</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one or more shareholders holding not less than one-third (1/3) of all votes attaching to the issued and outstanding shares entitled to vote at general meetings present in person or by proxy or, if a corporation or other non-natural person, by its duly authorized representative. As a Cayman Islands exempted company, we are not obliged by the Companies Act to call shareholders’ annual general meetings. Our memorandum and articles of association provide that we may (but are not obliged to) in each calendar year hold a general meeting as our annual general meeting in which case we will specify the meeting as such in the notices calling it, and the annual general meeting will be held at such time and place as may be determined by our directors.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a majority of all votes attaching to all issued and outstanding shares that as at the date of the deposit entitled to vote at general meetings, in which case the directors are obliged to call such meeting and to put the resolutions so requisitioned to a vote at such meeting; however, our memorandum and articles of association do not provide our shareholders with any right to put any proposals before annual general meetings or extraordinary general meetings not called by such shareholders. Advance notice of at least seven (7) calendar days is required for the convening of our annual general meeting and other general meetings unless such notice is waived in accordance with our articles of association.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6" w:name="page137"/>
    <w:bookmarkEnd w:id="13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requires the affirmative vote of no less than two-thirds of the votes attaching to the ordinary shares cast by those shareholders entitled to vote who are present in person or by proxy at a general meeting. A special resolution will be required for important matters such as a change of name or making changes to our memorandum and articles of association. Our shareholders may, among other things, divide or combine their shares by ordinary resolution.</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Transfer of Ordinary Shares. </w:t>
      </w:r>
      <w:r>
        <w:rPr>
          <w:rFonts w:ascii="Times New Roman" w:cs="Times New Roman" w:eastAsia="Times New Roman" w:hAnsi="Times New Roman"/>
          <w:sz w:val="18"/>
          <w:szCs w:val="18"/>
          <w:color w:val="auto"/>
        </w:rPr>
        <w:t>Subject to the restrictions in our memorandum and articles of association as set out below, any of our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transfer all or any of his or her ordinary shares by an instrument of transfer in the usual or common form or any other form approved by our board of directors. 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82" w:lineRule="exact"/>
        <w:rPr>
          <w:sz w:val="20"/>
          <w:szCs w:val="20"/>
          <w:color w:val="auto"/>
        </w:rPr>
      </w:pPr>
    </w:p>
    <w:p>
      <w:pPr>
        <w:ind w:left="980" w:hanging="324"/>
        <w:spacing w:after="0" w:line="282"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free from any lien in favor of us;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Nasdaq may determine to be payable or such lesser sum as our directors may from time to time require is paid to us in respect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calendar months after the date on which the instrument of transfer was lodged, send to each of the transferor and the transferee notice of such refusal.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Nasdaq, be suspended and the register closed at such times and for such periods as our board of directors may from time to time determine, provided, however, that the registration of transfers shall not be suspended nor the register closed for more than thirty (30) calendar days in any calendar year.</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If in a winding up the assets available for distribution amongst our shareholders shall be more than sufficient to repay the whole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as nearly as may be, the losses are borne by our shareholders in proportion to the par value of the shares held by them.</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Calls on Ordinary Shares and Forfeiture of Ordinary Shares. </w:t>
      </w:r>
      <w:r>
        <w:rPr>
          <w:rFonts w:ascii="Times New Roman" w:cs="Times New Roman" w:eastAsia="Times New Roman" w:hAnsi="Times New Roman"/>
          <w:sz w:val="18"/>
          <w:szCs w:val="18"/>
          <w:color w:val="auto"/>
        </w:rPr>
        <w:t>Our board of directors may from time to time make calls upon shareholders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unpaid on their ordinary shares in a notice served to such shareholders at least fourteen (14) calendar days prior to the specified time of payment. The ordinary shares that have been called upon and remain unpaid are subject to forfeiture.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Redemption, Repurchase and Surrender of Ordinary Shares. </w:t>
      </w:r>
      <w:r>
        <w:rPr>
          <w:rFonts w:ascii="Times New Roman" w:cs="Times New Roman" w:eastAsia="Times New Roman" w:hAnsi="Times New Roman"/>
          <w:sz w:val="18"/>
          <w:szCs w:val="18"/>
          <w:color w:val="auto"/>
        </w:rPr>
        <w:t>We may issue shares on terms that such shares are subject to redemption, 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or 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7" w:name="page138"/>
    <w:bookmarkEnd w:id="137"/>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or series of shares, the rights attached to any class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of shares (unless otherwise provided by the terms of issue) of the shares of that class or series), whether or not our company is being wound-up, may be varied with the consent in writing of the holders of at least two-third (2/3) the holders of the issued shares of that class or series or with the sanction of an ordinary resolution passed at a separate meeting of the holders of the shares of the class or series. The rights conferred upon the holders of the shares of any class issued shall not be deemed to be materially and adversely varied by the creation or issue of shares with preferred or other rights including, without limitation, the creation of shares with enhanced or weighted voting rights.</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Cayman Islands law to inspect or obtain copies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register of members or our corporate records (other than copies of our memorandum and articles of association, our register of mortgage and charges and any special resolutions passed by our shareholders). However, we will provide our shareholders with annual audited financial statements.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Our memorandum and articles of association authorizes our board of directors to issue additional ordinary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as our board of directors shall determine, to the extent of available authorized but to issue additional ordinary shares from time to time as our board of directors shall determine, to the extent of available authorized but unissued shares.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memorandum and articles of association also authorizes our board of directors to establish from time to time one or more series of preferred shares and to determine, with respect to any series of preferred shares, the terms and rights of that series, including:</w:t>
      </w:r>
    </w:p>
    <w:p>
      <w:pPr>
        <w:spacing w:after="0" w:line="162" w:lineRule="exact"/>
        <w:rPr>
          <w:sz w:val="20"/>
          <w:szCs w:val="20"/>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6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w:t>
      </w:r>
      <w:r>
        <w:rPr>
          <w:rFonts w:ascii="Times New Roman" w:cs="Times New Roman" w:eastAsia="Times New Roman" w:hAnsi="Times New Roman"/>
          <w:sz w:val="18"/>
          <w:szCs w:val="18"/>
          <w:color w:val="auto"/>
        </w:rPr>
        <w:t>Some provisions of our memorandum and articles of association may discourage, delay or prevent a change of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company or management that shareholders may consider favorable, including provisions that:</w:t>
      </w:r>
    </w:p>
    <w:p>
      <w:pPr>
        <w:spacing w:after="0" w:line="160" w:lineRule="exact"/>
        <w:rPr>
          <w:sz w:val="20"/>
          <w:szCs w:val="20"/>
          <w:color w:val="auto"/>
        </w:rPr>
      </w:pPr>
    </w:p>
    <w:p>
      <w:pPr>
        <w:ind w:left="980" w:hanging="324"/>
        <w:spacing w:after="0" w:line="282"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Companies Act. The Companies Act distinguishes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2" w:lineRule="exact"/>
        <w:rPr>
          <w:sz w:val="20"/>
          <w:szCs w:val="20"/>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30 years in the first instance);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38" w:name="page139"/>
    <w:bookmarkEnd w:id="13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Companies Act of the Cayman Islands is derived, to a large extent, from the older Companies Acts of England, but does not follow many recent English law statutory enactments. In addition, the Companies Act of the Cayman Islands differs from laws applicable to United States corporations and their shareholders. Set forth below is a summary of the significant differences between the provisions of the Companies Act of the Cayman Islands applicable to us and the laws applicable to companies incorporated in the State of Delaware.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arrangement is approved by (a) 75% in value of shareholders or each class of shareholders, as the case may be, or (b) a majority in number representing 75% in value of creditors or each class of creditors, as the case may be, depending on the circumstances,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89" w:lineRule="exact"/>
        <w:rPr>
          <w:sz w:val="20"/>
          <w:szCs w:val="20"/>
          <w:color w:val="auto"/>
        </w:rPr>
      </w:pPr>
    </w:p>
    <w:p>
      <w:pPr>
        <w:ind w:left="980" w:hanging="324"/>
        <w:spacing w:after="0"/>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9" w:name="page140"/>
    <w:bookmarkEnd w:id="139"/>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a dissenting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229" w:lineRule="exact"/>
        <w:rPr>
          <w:sz w:val="20"/>
          <w:szCs w:val="20"/>
          <w:color w:val="auto"/>
        </w:rPr>
      </w:pPr>
    </w:p>
    <w:p>
      <w:pPr>
        <w:jc w:val="both"/>
        <w:ind w:firstLine="693"/>
        <w:spacing w:after="0" w:line="258" w:lineRule="auto"/>
        <w:rPr>
          <w:sz w:val="20"/>
          <w:szCs w:val="20"/>
          <w:color w:val="auto"/>
        </w:rPr>
      </w:pPr>
      <w:r>
        <w:rPr>
          <w:rFonts w:ascii="Times New Roman" w:cs="Times New Roman" w:eastAsia="Times New Roman" w:hAnsi="Times New Roman"/>
          <w:sz w:val="18"/>
          <w:szCs w:val="18"/>
          <w:color w:val="auto"/>
        </w:rPr>
        <w:t xml:space="preserve">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w:cs="Times New Roman" w:eastAsia="Times New Roman" w:hAnsi="Times New Roman"/>
          <w:sz w:val="18"/>
          <w:szCs w:val="18"/>
          <w:i w:val="1"/>
          <w:iCs w:val="1"/>
          <w:color w:val="auto"/>
        </w:rPr>
        <w:t>Foss v. Harbottle</w:t>
      </w:r>
      <w:r>
        <w:rPr>
          <w:rFonts w:ascii="Times New Roman" w:cs="Times New Roman" w:eastAsia="Times New Roman" w:hAnsi="Times New Roman"/>
          <w:sz w:val="18"/>
          <w:szCs w:val="18"/>
          <w:color w:val="auto"/>
        </w:rPr>
        <w:t xml:space="preserve"> and the exceptions thereto) which permit a minority shareholder to commence a Class action against or derivative actions in the name of the company to challenge actions where:</w:t>
      </w:r>
    </w:p>
    <w:p>
      <w:pPr>
        <w:spacing w:after="0" w:line="183" w:lineRule="exact"/>
        <w:rPr>
          <w:sz w:val="20"/>
          <w:szCs w:val="20"/>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Under our memorandum and articles of association, to the fullest extent permissible under Cayman Islands law every director and officer of our company shall be indemnified against all actions, proceedings, costs, charges, expenses, losses, damages or liabilities incurred or sustained by him by reason of any act done or omitted in or about the execution of their duty in their respective offices or trusts. This standard of conduct is generally the same as permitted under the Delaware General Corporation Law for a Delaware corporation.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The Companies Act and our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229"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our shareholders holding in aggregate not less than a majority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22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memorandum and articles of association, directors may be removed with or without cause, by an ordinary resolution of our shareholders (except with regard to the removal of the chairman of the board of directors, who may only be removed from office by special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dies or is found to be or becomes of unsound mind; (iii) resigns his office by notice in writing to the company; (iv) without special leave of absence from the board, is absent from meetings of the board for three (3) consecutive meetings and the board (excluding the absent director) resolves that his office be vacated; or (v) is removed from office pursuant to any other provisions of our memorandum and articles of association.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us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 grounds that the company:</w:t>
      </w:r>
    </w:p>
    <w:p>
      <w:pPr>
        <w:spacing w:after="0" w:line="162" w:lineRule="exact"/>
        <w:rPr>
          <w:sz w:val="20"/>
          <w:szCs w:val="20"/>
          <w:color w:val="auto"/>
        </w:rPr>
      </w:pPr>
    </w:p>
    <w:p>
      <w:pPr>
        <w:ind w:left="980" w:hanging="324"/>
        <w:spacing w:after="0"/>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229" w:lineRule="exact"/>
        <w:rPr>
          <w:sz w:val="20"/>
          <w:szCs w:val="20"/>
          <w:color w:val="auto"/>
        </w:rPr>
      </w:pPr>
    </w:p>
    <w:p>
      <w:pPr>
        <w:jc w:val="both"/>
        <w:ind w:firstLine="693"/>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memorandum and articles of association, our company may be dissolved, liquidated or wound up by a special resolution of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229" w:lineRule="exact"/>
        <w:rPr>
          <w:sz w:val="20"/>
          <w:szCs w:val="20"/>
          <w:color w:val="auto"/>
        </w:rPr>
      </w:pPr>
    </w:p>
    <w:p>
      <w:pPr>
        <w:jc w:val="both"/>
        <w:ind w:firstLine="706"/>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vary the rights attached to any class with the written consent of the holders of at least two-thirds (2/3) of the issued shares of that class or with the sanction of an ordinary resolution passed at a general meeting of the holders of the shares of that class.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229" w:lineRule="exact"/>
        <w:rPr>
          <w:sz w:val="20"/>
          <w:szCs w:val="20"/>
          <w:color w:val="auto"/>
        </w:rPr>
      </w:pPr>
    </w:p>
    <w:p>
      <w:pPr>
        <w:jc w:val="both"/>
        <w:ind w:right="20" w:firstLine="706"/>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 Under the Companies Act and our memorandum and articles of association, our memorandum and articles of association may only be amended by a special resolution of our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229" w:lineRule="exact"/>
        <w:rPr>
          <w:sz w:val="20"/>
          <w:szCs w:val="20"/>
          <w:color w:val="auto"/>
        </w:rPr>
      </w:pPr>
    </w:p>
    <w:p>
      <w:pPr>
        <w:jc w:val="both"/>
        <w:ind w:firstLine="693"/>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that require our company to disclose shareholder ownership above any particular ownership threshold.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under “Item 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the Company,” “Item 7. Major Shareholders and Related Party Transactions” or elsewhere in this annual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Overview—Regulations—Regulations Relating to Foreign Exchange.”</w:t>
      </w:r>
    </w:p>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summary of Cayman Islands, mainland China and United States federal income tax consequences of an investment in the ADSs or Class A ordinary shares is based upon laws and relevant interpretations thereof in effect as of the date of this annual report, all of which are subject to change. This summary does not deal with all possible tax consequences relating to an investment in the ADSs or Class A ordinary shares, such as the tax consequences under U.S. state, or local laws or the tax laws of any jurisdiction other than the Cayman Islands, mainland China and the United States. To the extent that the discussion relates to matters of Cayman Islands tax law, it represents the opinion of Maples and Calder (Hong Kong) LLP, our Cayman Islands legal counsel. To the extent that the discussion relates to matters of mainland China’s tax law, it represents the opinion of Global Law Office, our mainland China counsel.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holders of our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the ADSs or ordinary shares will not be subject to taxation in the Cayman Islands and no withholding will be required on the payment of a dividend or capital to any holder of the ADSs or ordinary shares, nor will gains derived from the disposal of the ADSs or ordinary shares be subject to Cayman Islands income or corporate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Mainland China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EIT Law, an enterprise established outside mainland China with “de facto management bodies” within mainland China is considered a “resident enterprise” for mainland China enterprise income tax purposes and is generally subject to a uniform 25% enterprise income tax rate on its worldwide income. Under the implementation regulations to the PRC EIT Law, a “de facto management body” is defined as a body that has material and overall management and control over the manufacturing and operations, personnel and human resources, finances and properties of an enterprise.</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addition, the SAT Circular 82 issued by the SAT in April 2009 specifies that certain offshore incorporated enterprises controlled by mainland China enterprises or mainland China enterprise groups will be classified as mainland China’s resident enterprises only if all of the following conditions are met: (i) the senior management and core management departments in charge of its daily operations function have their presence mainly in mainland China;</w:t>
      </w:r>
    </w:p>
    <w:p>
      <w:pPr>
        <w:spacing w:after="0" w:line="1" w:lineRule="exact"/>
        <w:rPr>
          <w:sz w:val="20"/>
          <w:szCs w:val="20"/>
          <w:color w:val="auto"/>
        </w:rPr>
      </w:pPr>
    </w:p>
    <w:p>
      <w:pPr>
        <w:jc w:val="both"/>
        <w:ind w:firstLine="8"/>
        <w:spacing w:after="0" w:line="250" w:lineRule="auto"/>
        <w:tabs>
          <w:tab w:leader="none" w:pos="2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financial and human resources decisions are subject to determination or approval by persons or bodies in mainland China; (iii) its major assets, accounting books, company seals, and minutes and files of its board and shareholders’ meetings are located or kept in mainland China; and (iv) not less than half of the enterprise’s directors or senior management with voting rights habitually reside in mainland China. Further to SAT Circular 82, in June 2018 the SAT amended the SAT Bulletin 45 to provide more guidance on the implementation of SAT Circular 82. SAT Bulletin 45 provides for procedures and administration details of determination on resident status and administration on post-determination matters. Our company is a company incorporated outside mainland China. As a holding company, its key assets are its ownership interests in its subsidiaries, and its key assets are located, and its records (including the resolutions of its board of directors and the resolutions of its shareholders) are maintained, outside mainland China. As such, we do not believe that our company meets all of the conditions above or is a resident enterprise of mainland China for mainland China’s tax purposes. For similar reasons, we believe our other entities outside of China are not resident enterprises of mainland China either. However, the tax resident status of an enterprise is subject to determination by the PRC tax authorities and the interpretation of the term “de facto management body.” There can be no assurance that the mainland China government will ultimately take a view that is consistent with us. If the PRC tax authorities determine that our Cayman Islands holding company is a resident enterprise of mainland China for mainland China’s enterprise income tax purposes, a number of unfavorable mainland China’s tax consequences could follow. For example, a 10% withholding tax would be imposed on dividends we pay to our non-resident enterprise shareholders (including the ADS holders). In addition, non-resident enterprise shareholders (including the ADS holders) may be subject to mainland China’s tax at a rate of 10% on gains realized on the sale or other disposition of ADSs or ordinary shares, if such income is treated as sourced from within mainland China. Furthermore, if we are deemed a resident enterprise of mainland China, dividends paid to our non-resident individual shareholders (including the ADS holders) and any gain realized on the sale or other disposition of ADSs or ordinary shares by such shareholders may be subject to mainland China’s tax at a rate of 20% (which, in the case of dividends, may be withheld at source by us). These rates may be reduced by an applicable tax treaty, but it is unclear whether non-resident shareholders (including the ADS holders) of our company would be able to obtain the benefits of any tax treaties between their country of tax residence and mainland China in the event that we are treated as a resident enterprise of mainland China. See “Risk Factors—Risks Related to Doing Business in Mainland China—If we are classified as a mainland China resident enterprise for mainland China enterprise income tax purposes, such classification could result in unfavorable tax consequences to us and our non-mainland-China shareholders and ADS holders.”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the ADSs or Class A ordinary shares by a U.S. Holder (as defined below) that acquires the ADSs and holds the ADSs or Class A ordinary shares as “capital assets” (generally, property held for investment) under the U.S. Internal Revenue Code of 1986, as amended (the “Code”). This discussion is based upon existing U.S. federal tax law, which is subject to differing interpretations or change, possibly with retroactive effect. There can be no assurance that the Internal Revenue Service (the “IRS”), or a court will not take a contrary position. This discussion, moreover, does not address the U.S. federal estate, gift, Medicare, and any minimum tax considerations, or any state, local and non-U.S. tax considerations, relating to the ownership or disposition of the ADSs or Class A ordinary shares. The following summary does not address all aspects of U.S. federal income taxation that may be important to particular investors in light of their individual circumstances or to persons in special tax situations such as:</w:t>
      </w:r>
    </w:p>
    <w:p>
      <w:pPr>
        <w:spacing w:after="0" w:line="192" w:lineRule="exact"/>
        <w:rPr>
          <w:sz w:val="20"/>
          <w:szCs w:val="20"/>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any minimum tax;</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 their ADSs or Class A ordinary shares pursuant to any employee share option or otherwise as compensation;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will hold their ADSs or Class A ordinary shares as part of a straddle, hedge, conversion, constructive sale or other integrated transaction for U.S. federal income tax purposes;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ADSs or Class A ordinary shares representing 10% or more of our stock (by vote or value);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taxable as partnerships for U.S. federal income tax purposes, or persons holding ADSs or Class A ordinary shares through such entities;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whom may be subject to tax rules that differ significantly from those discussed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5" w:name="page146"/>
    <w:bookmarkEnd w:id="145"/>
    <w:p>
      <w:pPr>
        <w:ind w:firstLine="648"/>
        <w:spacing w:after="0" w:line="282" w:lineRule="auto"/>
        <w:rPr>
          <w:sz w:val="20"/>
          <w:szCs w:val="20"/>
          <w:color w:val="auto"/>
        </w:rPr>
      </w:pPr>
      <w:r>
        <w:rPr>
          <w:rFonts w:ascii="Times New Roman" w:cs="Times New Roman" w:eastAsia="Times New Roman" w:hAnsi="Times New Roman"/>
          <w:sz w:val="18"/>
          <w:szCs w:val="18"/>
          <w:color w:val="auto"/>
        </w:rPr>
        <w:t>Each U.S. Holder is urged to consult its tax advisor regarding the application of U.S. federal taxation to its particular circumstances, and the state, local, non-U.S. and other tax considerations of the ownership and disposition of the ADSs or our Class A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the ADSs or Class A ordinary shares that is, for U.S. federal income tax purposes:</w:t>
      </w:r>
    </w:p>
    <w:p>
      <w:pPr>
        <w:spacing w:after="0" w:line="162" w:lineRule="exact"/>
        <w:rPr>
          <w:sz w:val="20"/>
          <w:szCs w:val="20"/>
          <w:color w:val="auto"/>
        </w:rPr>
      </w:pPr>
    </w:p>
    <w:p>
      <w:pPr>
        <w:ind w:left="980" w:hanging="324"/>
        <w:spacing w:after="0"/>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the laws of the United States or any state thereof or the District of Columbia;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that has one or more U.S. persons who have the authority to control all substantial decisions of the trust or (B) that has otherwise validly elected to be treated as a U.S. person under the Code.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is a beneficial owner of the ADSs or Class A ordinary shares, the tax treatment of a partner in the partnership will generally depend upon the status of the partner and the activities of the partnership. Partnerships holding the ADSs or Class A ordinary shares and their partners are urged to consult their tax advisors regarding an investment in the ADSs or Class A ordinary shares.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it is generally expected that a U.S. Holder of ADSs will be treated as the beneficial owner of the underlying shares represented by the ADSs. The remainder of this discussion assumes that a U.S. Holder of the ADSs will be treated in this manner. Accordingly, deposits or withdrawals of Class A ordinary shares for ADSs will generally not be subject to U.S. federal income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general, a non-U.S. corporation is a passive foreign investment company (“PFIC”) for U.S. federal income tax purposes for any taxable year in which (i) 50% or more of the value of its assets (generally determined on the basis of a quarterly average) consists of assets that produce, or are held for the production of, passive income (the “asset test”), or (ii) 75% or more of its gross income consists of passive income.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 Although the law in this regard is not entirely clear, we treat our VIEs and their subsidiaries as being owned by us for U.S. federal income tax purposes because we control their management decisions and are entitled to substantially all of the economic benefits associated with them. As a result, we consolidate their results of operations in our consolidated U.S. GAAP financial statements. If it were determined, however, that we are not the owner of our VIEs and their subsidiaries for U.S. federal income tax purposes, we may be treated as a PFIC for the current and subsequent taxable years.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Assuming that we are the owner of the VIEs for U.S. federal income tax purposes, and based upon the current and anticipated value of our assets and the composition of our income and assets, including goodwill and other unbooked intangibles, we do not believe we were a PFIC for our taxable year ended December 31, 2025. However, no assurance can be given in this regard because the determination of whether we will be or become a PFIC for any taxable year is a fact intensive determination made annually that depends, in part, upon the composition and classification of our income and assets. Fluctuations in the market price of our ADSs may cause us to be or become classified as a PFIC for the current or future taxable years because the value of our assets for purposes of the asset test, including the value of our goodwill and unbooked intangibles, may be determined by reference to the market price of our ADSs from time to time (which may be volatile). In particular, recent declines in the market price of our ADSs significantly increased our risk of becoming a PFIC. The market price of our ADSs may continue to fluctuate considerably and, consequently, we cannot assure you of our PFIC status for any taxable year. Furthermore, the composition of our income and assets may also be affected by how, and how quickly, we use our liquid assets. Under circumstances where revenues from activities that produce passive income significantly increase relative to our revenues from activities that produce non-passive income, or where we determine not to deploy significant amounts of cash for active purposes, our risk of being or becoming classified as a PFIC may substantially increase.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6" w:name="page147"/>
    <w:bookmarkEnd w:id="14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were to be or become a PFIC in any taxable year during which a U.S. Holder holds our ADSs or Class A ordinary shares, the PFIC rules discussed below under “—Passive Foreign Investment Company Rules” will generally apply to such U.S. Holder for such taxable year, and unless the U.S. Holder makes certain elections, will apply in future years even if we cease to be a PFIC.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discussion below entitled “—Passive Foreign Investment Company Rules”, the gross amount of distributions paid on the ADSs or Class A ordinary shares (including the amount of any mainland China’s tax withheld)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the full amount of any distribution we pay will generally be treated as a “dividend” for U.S. federal income tax purposes. Dividends received on the ADSs or Class A ordinary shares will not be eligible for the dividends received deduction generally allowed to corporations.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Dividends received by individuals and certain other non-corporate U.S. Holders may be subject to tax at the lower capital gain tax rate applicable to “qualified dividend income,” provided that certain conditions are satisfied, including that (1) the ADSs or Class A ordinary shares on which the dividends are paid are readily tradable on an established securities market in the United States, or, in the event that we are deemed to be a mainland China resident enterprise under mainland China’s tax law, we are eligible for the benefit of the United States-mainland China income tax treaty (the “Treaty”),</w:t>
      </w:r>
    </w:p>
    <w:p>
      <w:pPr>
        <w:spacing w:after="0" w:line="3" w:lineRule="exact"/>
        <w:rPr>
          <w:sz w:val="20"/>
          <w:szCs w:val="20"/>
          <w:color w:val="auto"/>
        </w:rPr>
      </w:pPr>
    </w:p>
    <w:p>
      <w:pPr>
        <w:jc w:val="both"/>
        <w:ind w:firstLine="8"/>
        <w:spacing w:after="0" w:line="251" w:lineRule="auto"/>
        <w:tabs>
          <w:tab w:leader="none" w:pos="26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neither a PFIC nor treated as such with respect to such U.S. Holder (as discussed below) for the taxable year in which the dividend is paid and the preceding taxable year, and (3) certain holding period requirements are met. We expect the ADSs (but not the Class A ordinary shares), which are listed on Nasdaq, will be considered readily tradable on an established securities market in the United States, although there can be no assurance in this regard. However, as described above, on April 2, 2026, we received a written notice from Nasdaq indicating we are not in compliance with the US$1.00 minimum bid price requirement under the Nasdaq Listing Rules. We were granted a grace period of 180 calendar days, expiring on September 29, 2026, in which to regain compliance. See “Item 3. Key Information—D. Risk Factors—Risks Related to the ADSs—If we fail to meet Nasdaq’s minimum bid price or minimum market value of publicly held shares requirements, our ADSs could be subject to delisting, which may significantly reduce the liquidity of our ADSs and cause further declines to the market price of our ADSs.” If our ADSs are delisted from the Nasdaq and are not otherwise readily tradable on an established securities market in the United States, dividends received on our ADSs would generally not be eligible to be taxed as dividend income from a qualified foreign corporation. Because the Class A ordinary shares will not be listed on a U.S. exchange, dividends received with respect to Class A ordinary shares that are not represented by ADSs may not be treated as qualified dividends. U.S. Holders are urged to consult their tax advisors regarding the availability of the lower rate for dividends paid with respect to the ADSs or Class A ordinary shares.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we are deemed to be a mainland China resident enterprise under the EIT Law (see “Item 10. Additional Information—E. Taxation —Mainland China”), we may be eligible for the benefits of the Treaty. If we are eligible for such benefits, dividends we pay on our Class A ordinary shares, regardless of whether such shares are represented by the ADSs, and regardless of whether the ADSs are readily tradable on an established securities market in the United States, would be eligible for the reduced rates of taxation described in the preceding paragraph.</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U.S. foreign tax credit purposes, dividends paid on the ADSs or Class A ordinary shares, if any, will generally be treated as income from foreign sources and will generally constitute passive category income for U.S. foreign tax credit purposes. Subject to certain conditions and limitations, mainland China’s withholding taxes on dividends that are non-refundable under the Treaty may be treated as foreign taxes eligible for credit against a U.S. Holder’s U.S. federal income tax liability. A U.S. Holder who does not elect to claim a foreign tax credit for foreign taxes withheld may instead, subject to applicable limitations,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discussion below entitled “—Passive Foreign Investment Company Rules”, a U.S. Holder will generally recognize capital gain or loss upon the sale or other disposition of the ADSs or Class A ordinary shares in an amount equal to the difference between the amount realized upon the disposition and the holder’s adjusted tax basis in such ADSs or Class A ordinary shares. Any capital gain or loss will be long-term if the ADSs or Class A ordinary shares have been held for more than one year and will generally be U.S.-source gain or loss for U.S. foreign tax credit purposes, which will generally limit the availability of foreign tax credits. Long-term capital gain of individuals and certain other non-corporate U.S. Holders will generally be eligible for a reduced rate of taxation. The deductibility of a capital loss may be subject to limitations.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7" w:name="page148"/>
    <w:bookmarkEnd w:id="14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described in “Item 10. Additional Information—E. Taxation—Mainland China,” if we are deemed to be a mainland China resident enterprise under the EIT Law, gains from the disposition of the ADSs or Class A ordinary shares may be subject to mainland China income tax and will generally be U.S.-source, which may limit the ability to receive a foreign tax credit. If a U.S. Holder is eligible for the benefits of the Treaty, such holder may be able to elect to treat such gain as mainland China-source income under the Treaty. Pursuant to United States Treasury regulations (the applicability of which has been postponed until further guidance is issued), however, if a U.S. Holder is not eligible for the benefits of the Treaty or does not elect to apply the Treaty, then such holder may not be able to claim a foreign tax credit arising from any mainland China tax imposed on the disposition of the ADSs or Class A ordinary shares. The rules regarding foreign tax credits and deduction of foreign taxes are complex. U.S. Holders should consult their tax advisors regarding the availability of a foreign tax credit or deduction in light of their particular circumstances, including their eligibility for benefits under the Treaty, and the potential impact of the United States Treasury regulations.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the ADSs or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Class A ordinary shares), and (ii) any gain realized on the sale or other disposition of ADSs or Class A ordinary shares. Under the PFIC rules:</w:t>
      </w:r>
    </w:p>
    <w:p>
      <w:pPr>
        <w:spacing w:after="0" w:line="183" w:lineRule="exact"/>
        <w:rPr>
          <w:sz w:val="20"/>
          <w:szCs w:val="20"/>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Class A ordinary shares;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a PFIC (each, a “pre-PFIC year”), will be taxable as ordinary income;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the ADSs or Class A ordinary shares and any of our subsidiaries, our VIEs or their subsidiaries are also PFICs (each a “lower-tier PFIC”), such U.S. Holder would be treated as owning a proportionate amount (by value) of the shares of such lower-tier PFIC for purposes of the application of these rules. U.S. Holders are urged to consult their tax advisors regarding the application of the PFIC rules to any of our subsidiaries, our VIEs or their subsidiaries.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(as defined below) in a PFIC may make a mark-to-market election with respect to such stock. If a U.S. Holder makes a valid mark-to-market election with respect to the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the ADSs in a year when we are a PFIC and we subsequently cease to be a PFIC, the holder will not be required to take into account the gain or loss described above during any period that we are not a PFIC. If a U.S. Holder makes a mark-to-market election, any gain such U.S. Holder recognizes upon the sale or other disposition of the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8" w:name="page149"/>
    <w:bookmarkEnd w:id="14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which is stock that is traded in other than de minimis quantities on at least 15 days during each calendar quarter (“regularly traded”) on a qualified exchange or other market, as defined in applicable United States Treasury regulations. The ADSs, but not the Class A ordinary shares, are listed on Nasdaq, which is a qualified exchange for these purposes. We anticipate that the ADSs should qualify as being regularly traded, but no assurances may be given in this regard. However, as described above, on April 2, 2026, we received a written notice from Nasdaq indicating we are not in compliance with the US$1.00 minimum bid price requirement under the Nasdaq Listing Rules. We were granted a grace period of 180 calendar days, expiring on September 29, 2026, in which to regain compliance. See “Item 3. Key Information—D. Risk Factors—Risks Related to the ADSs—If we fail to meet Nasdaq’s minimum bid price or minimum market value of publicly held shares requirements, our ADSs could be subject to delisting, which may significantly reduce the liquidity of our ADSs and cause further declines to the market price of our ADSs.” If our ADSs are delisted from Nasdaq and are not otherwise listed on a qualified exchange or other market, as described above, our ADSs would not be treated as “marketable stock” for these purposes and a U.S. Holder would not be eligible to make a mark-to market election with respect to our ADSs.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a mark-to-market election cannot technically be made for any lower-tier PFICs that we may own, a U.S. Holder that makes the mark-to-market election may continue to be subject to the PFIC rules with respect to such U.S. Holder’s indirect interest in any investments held by us that are treated as an equity interest in a PFIC for U.S. federal income tax purposes.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U.S. Holder owns the ADSs or Class A ordinary shares during any taxable year that we are a PFIC, the holder must generally file an annual IRS Form 8621. You should consult your tax advisor regarding the U.S. federal income tax consideration of owning and disposing of the ADSs or Class A ordinary shares if we are or become a PFIC, including the availability and possibility of making a mark-to-market election.</w:t>
      </w:r>
    </w:p>
    <w:p>
      <w:pPr>
        <w:spacing w:after="0" w:line="172" w:lineRule="exact"/>
        <w:rPr>
          <w:sz w:val="20"/>
          <w:szCs w:val="20"/>
          <w:color w:val="auto"/>
        </w:rPr>
      </w:pPr>
    </w:p>
    <w:p>
      <w:pPr>
        <w:ind w:left="660" w:right="7960" w:hanging="652"/>
        <w:spacing w:after="0" w:line="500" w:lineRule="auto"/>
        <w:tabs>
          <w:tab w:leader="none" w:pos="336"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BY EXPERTS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and are required to file reports, including annual reports on Form 20-F, and other information with the SEC. All information filed with the SEC can be obtained over the internet at the SEC’s website at www.sec.gov.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furnish JPMorgan Chase Bank, N.A.,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Nasdaq Stock Market Rule 5250(d), we will post this annual report on Form 20-F on our website at https://ir.ymt.com/. In addition, we will provide hardcopies of our annual report free of charge to shareholders and ADS holders upon request.</w:t>
      </w:r>
    </w:p>
    <w:p>
      <w:pPr>
        <w:spacing w:after="0" w:line="158" w:lineRule="exact"/>
        <w:rPr>
          <w:sz w:val="20"/>
          <w:szCs w:val="20"/>
          <w:color w:val="auto"/>
        </w:rPr>
      </w:pPr>
    </w:p>
    <w:p>
      <w:pPr>
        <w:ind w:left="660" w:right="8440" w:hanging="652"/>
        <w:spacing w:after="0" w:line="582" w:lineRule="auto"/>
        <w:tabs>
          <w:tab w:leader="none" w:pos="336"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9" w:name="page150"/>
    <w:bookmarkEnd w:id="149"/>
    <w:p>
      <w:pPr>
        <w:ind w:left="340" w:hanging="332"/>
        <w:spacing w:after="0"/>
        <w:tabs>
          <w:tab w:leader="none" w:pos="3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Most of our revenues and most of our expenses are denominated in Renminbi. Our exposure to foreign exchange risk primarily relates to cash and cash equivalent denominated in U.S. dollars. We do not believe that we currently have any significant direct foreign exchange risk and have not used any derivative financial instruments to hedge our exposure to such risk. Although, in general, our exposure to foreign exchange risks should be limited, the value of your investment in the ADSs will be affected by the exchange rate between U.S. dollar and RMB because the value of our business is effectively denominated in RMB, while the ADSs representing our ordinary shares will be traded in U.S. dollars.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conversion of Renminbi into other currencies, including U.S. dollars, is based on rates set by the People’s Bank of China. The Renminbi has fluctuated against other currencies, at times significantly and unpredictably. The value of Renminbi against other currencies is affected by changes in China’s political and economic conditions and by China’s foreign exchange policies, among other things. It is difficult to predict how market forces or government policies may impact the exchange rate between Renminbi and other currencies in the future.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we need to convert U.S. dollars into RMB for our operations, appreciation of RMB against the U.S. dollar would reduce the RMB amount we receive from the conversion. Conversely, if we decide to convert RMB into U.S. dollars for the purpose of making payments for dividends on our ordinary shares or ADSs, servicing our outstanding debt, or for other business purposes, appreciation of the U.S. dollar against the RMB would reduce the U.S. dollar amounts available to us.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we had RMB-denominated cash and cash equivalents of RMB311.9 million. A 10% depreciation of Renminbi against the U.S. dollar based on the foreign exchange rate on December 31, 2025 would result in a decrease of US$4.5 million in cash and cash equivalents. A 10% appreciation of Renminbi against the U.S. dollar based on the foreign exchange rate on December 31, 2025 would result in an increase of US$4.5 million in cash and cash equivalents.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income generated by excess cash invested in interest-bearing bank deposits with original maturities of three months or less. We have not used any derivative financial instruments to manage our interest risk exposure. Interest-earning instruments carry a degree of interest rate risk. We have not been exposed, nor do we anticipate being exposed, to material risks due to changes in interest rates. However, our future interest income may be lower than expected due to changes in market interest rates.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invest the net proceeds that we receive from our external financings in interest-earning instruments. Investments in both fixed-rate and floating rate interest-earning instruments carry a degree of interest rate risk. Fixed-rate securities may have their fair market value adversely impacted due to a rise in interest rates, while floating-rate securities may produce less income than expected if interest rates fall.</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25" w:lineRule="exact"/>
        <w:rPr>
          <w:sz w:val="20"/>
          <w:szCs w:val="20"/>
          <w:color w:val="auto"/>
        </w:rPr>
      </w:pPr>
    </w:p>
    <w:p>
      <w:pPr>
        <w:ind w:left="660" w:right="9280" w:hanging="652"/>
        <w:spacing w:after="0" w:line="530" w:lineRule="auto"/>
        <w:tabs>
          <w:tab w:leader="none" w:pos="336"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ind w:left="660" w:right="8700" w:hanging="652"/>
        <w:spacing w:after="0" w:line="537" w:lineRule="auto"/>
        <w:tabs>
          <w:tab w:leader="none" w:pos="336"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WARRANTS AND RIGHTS </w:t>
      </w: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0" w:name="page151"/>
    <w:bookmarkEnd w:id="150"/>
    <w:p>
      <w:pPr>
        <w:ind w:left="660" w:right="9120" w:hanging="652"/>
        <w:spacing w:after="0" w:line="530" w:lineRule="auto"/>
        <w:tabs>
          <w:tab w:leader="none" w:pos="336"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SECURITIES </w:t>
      </w:r>
      <w:r>
        <w:rPr>
          <w:rFonts w:ascii="Times New Roman" w:cs="Times New Roman" w:eastAsia="Times New Roman" w:hAnsi="Times New Roman"/>
          <w:sz w:val="17"/>
          <w:szCs w:val="17"/>
          <w:color w:val="auto"/>
        </w:rPr>
        <w:t>Not applicable.</w:t>
      </w:r>
    </w:p>
    <w:p>
      <w:pPr>
        <w:ind w:left="340" w:hanging="332"/>
        <w:spacing w:after="0"/>
        <w:tabs>
          <w:tab w:leader="none" w:pos="3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 Our ADS holders May Have to Pay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0" w:type="dxa"/>
            <w:vAlign w:val="bottom"/>
          </w:tcPr>
          <w:p>
            <w:pPr>
              <w:spacing w:after="0"/>
              <w:rPr>
                <w:sz w:val="21"/>
                <w:szCs w:val="21"/>
                <w:color w:val="auto"/>
              </w:rPr>
            </w:pPr>
          </w:p>
        </w:tc>
        <w:tc>
          <w:tcPr>
            <w:tcW w:w="5780" w:type="dxa"/>
            <w:vAlign w:val="bottom"/>
            <w:gridSpan w:val="2"/>
          </w:tcPr>
          <w:p>
            <w:pPr>
              <w:ind w:left="258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5160" w:type="dxa"/>
            <w:vAlign w:val="bottom"/>
          </w:tcPr>
          <w:p>
            <w:pPr>
              <w:ind w:left="2420"/>
              <w:spacing w:after="0"/>
              <w:rPr>
                <w:sz w:val="20"/>
                <w:szCs w:val="20"/>
                <w:color w:val="auto"/>
              </w:rPr>
            </w:pPr>
            <w:r>
              <w:rPr>
                <w:rFonts w:ascii="Times New Roman" w:cs="Times New Roman" w:eastAsia="Times New Roman" w:hAnsi="Times New Roman"/>
                <w:sz w:val="18"/>
                <w:szCs w:val="18"/>
                <w:b w:val="1"/>
                <w:bCs w:val="1"/>
                <w:color w:val="auto"/>
              </w:rPr>
              <w:t>Fees</w:t>
            </w:r>
          </w:p>
        </w:tc>
      </w:tr>
      <w:tr>
        <w:trPr>
          <w:trHeight w:val="198"/>
        </w:trPr>
        <w:tc>
          <w:tcPr>
            <w:tcW w:w="3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5560" w:type="dxa"/>
            <w:vAlign w:val="bottom"/>
            <w:tcBorders>
              <w:top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color w:val="auto"/>
              </w:rPr>
              <w:t>To any person to which ADSs are issued or to any person to which a</w:t>
            </w:r>
          </w:p>
        </w:tc>
        <w:tc>
          <w:tcPr>
            <w:tcW w:w="220" w:type="dxa"/>
            <w:vAlign w:val="bottom"/>
          </w:tcPr>
          <w:p>
            <w:pPr>
              <w:spacing w:after="0"/>
              <w:rPr>
                <w:sz w:val="17"/>
                <w:szCs w:val="17"/>
                <w:color w:val="auto"/>
              </w:rPr>
            </w:pPr>
          </w:p>
        </w:tc>
        <w:tc>
          <w:tcPr>
            <w:tcW w:w="5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Up to US$0.05 per ADS issued</w:t>
            </w:r>
          </w:p>
        </w:tc>
      </w:tr>
      <w:tr>
        <w:trPr>
          <w:trHeight w:val="216"/>
        </w:trPr>
        <w:tc>
          <w:tcPr>
            <w:tcW w:w="300" w:type="dxa"/>
            <w:vAlign w:val="bottom"/>
          </w:tcPr>
          <w:p>
            <w:pPr>
              <w:spacing w:after="0"/>
              <w:rPr>
                <w:sz w:val="18"/>
                <w:szCs w:val="18"/>
                <w:color w:val="auto"/>
              </w:rPr>
            </w:pPr>
          </w:p>
        </w:tc>
        <w:tc>
          <w:tcPr>
            <w:tcW w:w="5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distribution is made in respect of ADS distributions pursuant to stock</w:t>
            </w:r>
          </w:p>
        </w:tc>
        <w:tc>
          <w:tcPr>
            <w:tcW w:w="51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dividends or other free distributions of stock, bonus distributions, stock</w:t>
            </w:r>
          </w:p>
        </w:tc>
        <w:tc>
          <w:tcPr>
            <w:tcW w:w="516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5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splits or other distributions (except where converted to cash)</w:t>
            </w:r>
          </w:p>
        </w:tc>
        <w:tc>
          <w:tcPr>
            <w:tcW w:w="5160" w:type="dxa"/>
            <w:vAlign w:val="bottom"/>
          </w:tcPr>
          <w:p>
            <w:pPr>
              <w:spacing w:after="0"/>
              <w:rPr>
                <w:sz w:val="20"/>
                <w:szCs w:val="20"/>
                <w:color w:val="auto"/>
              </w:rPr>
            </w:pPr>
          </w:p>
        </w:tc>
      </w:tr>
      <w:tr>
        <w:trPr>
          <w:trHeight w:val="41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Cancellation of ADSs, including in the case of termination of the deposit</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cancelled</w:t>
            </w:r>
          </w:p>
        </w:tc>
      </w:tr>
      <w:tr>
        <w:trPr>
          <w:trHeight w:val="234"/>
        </w:trPr>
        <w:tc>
          <w:tcPr>
            <w:tcW w:w="300" w:type="dxa"/>
            <w:vAlign w:val="bottom"/>
          </w:tcPr>
          <w:p>
            <w:pPr>
              <w:spacing w:after="0"/>
              <w:rPr>
                <w:sz w:val="20"/>
                <w:szCs w:val="20"/>
                <w:color w:val="auto"/>
              </w:rPr>
            </w:pPr>
          </w:p>
        </w:tc>
        <w:tc>
          <w:tcPr>
            <w:tcW w:w="5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agreement</w:t>
            </w:r>
          </w:p>
        </w:tc>
        <w:tc>
          <w:tcPr>
            <w:tcW w:w="5160" w:type="dxa"/>
            <w:vAlign w:val="bottom"/>
          </w:tcPr>
          <w:p>
            <w:pPr>
              <w:spacing w:after="0"/>
              <w:rPr>
                <w:sz w:val="20"/>
                <w:szCs w:val="20"/>
                <w:color w:val="auto"/>
              </w:rPr>
            </w:pPr>
          </w:p>
        </w:tc>
      </w:tr>
      <w:tr>
        <w:trPr>
          <w:trHeight w:val="4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Distribution of cash dividends</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41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Distribution of cash entitlements (other than cash dividends) and/or</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16"/>
        </w:trPr>
        <w:tc>
          <w:tcPr>
            <w:tcW w:w="300" w:type="dxa"/>
            <w:vAlign w:val="bottom"/>
          </w:tcPr>
          <w:p>
            <w:pPr>
              <w:spacing w:after="0"/>
              <w:rPr>
                <w:sz w:val="18"/>
                <w:szCs w:val="18"/>
                <w:color w:val="auto"/>
              </w:rPr>
            </w:pPr>
          </w:p>
        </w:tc>
        <w:tc>
          <w:tcPr>
            <w:tcW w:w="5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securities or net cash proceeds from the sale of rights, securities and other</w:t>
            </w:r>
          </w:p>
        </w:tc>
        <w:tc>
          <w:tcPr>
            <w:tcW w:w="516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5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entitlements</w:t>
            </w:r>
          </w:p>
        </w:tc>
        <w:tc>
          <w:tcPr>
            <w:tcW w:w="5160" w:type="dxa"/>
            <w:vAlign w:val="bottom"/>
          </w:tcPr>
          <w:p>
            <w:pPr>
              <w:spacing w:after="0"/>
              <w:rPr>
                <w:sz w:val="20"/>
                <w:szCs w:val="20"/>
                <w:color w:val="auto"/>
              </w:rPr>
            </w:pPr>
          </w:p>
        </w:tc>
      </w:tr>
      <w:tr>
        <w:trPr>
          <w:trHeight w:val="4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Distribution of ADS held ADSs pursuant to exercise of rights</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41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Distribution of securities other than ADSs or rights to purchase additional</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300" w:type="dxa"/>
            <w:vAlign w:val="bottom"/>
          </w:tcPr>
          <w:p>
            <w:pPr>
              <w:spacing w:after="0"/>
              <w:rPr>
                <w:sz w:val="20"/>
                <w:szCs w:val="20"/>
                <w:color w:val="auto"/>
              </w:rPr>
            </w:pPr>
          </w:p>
        </w:tc>
        <w:tc>
          <w:tcPr>
            <w:tcW w:w="5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ADSs</w:t>
            </w:r>
          </w:p>
        </w:tc>
        <w:tc>
          <w:tcPr>
            <w:tcW w:w="5160" w:type="dxa"/>
            <w:vAlign w:val="bottom"/>
          </w:tcPr>
          <w:p>
            <w:pPr>
              <w:spacing w:after="0"/>
              <w:rPr>
                <w:sz w:val="20"/>
                <w:szCs w:val="20"/>
                <w:color w:val="auto"/>
              </w:rPr>
            </w:pPr>
          </w:p>
        </w:tc>
      </w:tr>
      <w:tr>
        <w:trPr>
          <w:trHeight w:val="41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Depositary services</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 on the applicable record date(s)</w:t>
            </w:r>
          </w:p>
        </w:tc>
      </w:tr>
      <w:tr>
        <w:trPr>
          <w:trHeight w:val="234"/>
        </w:trPr>
        <w:tc>
          <w:tcPr>
            <w:tcW w:w="3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established by the depositary bank</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176" w:lineRule="exact"/>
        <w:rPr>
          <w:sz w:val="20"/>
          <w:szCs w:val="20"/>
          <w:color w:val="auto"/>
        </w:rPr>
      </w:pPr>
    </w:p>
    <w:p>
      <w:pPr>
        <w:ind w:left="980" w:hanging="324"/>
        <w:spacing w:after="0" w:line="282"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Class A ordinary shares charged by the registrar and transfer agent for the Class A ordinary shares in the Cayman Islands (i.e., upon deposit and withdrawal of Class A ordinary shares).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1" w:name="page152"/>
    <w:bookmarkEnd w:id="151"/>
    <w:p>
      <w:pPr>
        <w:ind w:left="980" w:hanging="324"/>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Class A ordinary shares are deposited or withdrawn from deposit).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Class A ordinary shares on deposit.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Class A ordinary shares, deposited securities, ADSs and ADRs.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fees and penalties thereon.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 For the year ended December 31, 2025, we did not receive any reimbursement from the depositary.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right="1920"/>
        <w:spacing w:after="0" w:line="503"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 Material Modifications to the Rights of Security Holders</w:t>
      </w: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on Form F-1, as amended (File Number 333-287877) in relation to our initial public offering, which was declared effective by the SEC on August 7, 2025. We raised approximately US$11.5 million in net proceeds from the initial public offering.</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2025, we had used the net proceeds of RMB23 million from our initial public offering, including RMB12 million for the enhancement and expansion of our digital agricultural commerce services via Yimutian and Douniu Apps, RMB6 million for the development technological infrastructure and product operations in relation to our new business initiatives of agricultural sourcing and trading and smart farming, and RMB5 million for the expansion of our network of sales representatives in the provision of agricultural sourcing and trading services. There is no material change in the use of proceeds as described in our registration statement on Form F-1. We still intend to use the remainder of the proceeds from our initial public offering for purposes as disclosed in our registration statement on Form F-1.</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required by Rule 13a-15b under the Exchange Act, our management, under the supervision and with the participation of our chief executive officer and chief financial officer, has performed an evaluation of the effectiveness of our disclosure controls and procedures (within the meaning of Rules 13a-15(e) and 15d-15(e) of the Exchange Act) as of the end of the period covered by this report.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upon that evaluation, our management, with the participation of our chief executive officer and chief financial officer, has concluded that, due to the material weakness described below under “Internal Control over Financial Reporting,” as of December 31, 2025, our disclosure controls and procedures were not effective in ensuring that the information required to be disclosed by us in the reports that we file or submit under the Exchange Act is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or an attestation report by our independent registered public accounting firm due to a transition period established by rules of the SEC for newly listed public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defined in the standards established by the Public Company Accounting Oversight Board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We have identified one material weakness in our internal control over financial reporting as of December 31, 2025. The material weakness that has been identified relates to our lack of sufficient financial reporting and accounting personnel with appropriate knowledge of U.S. GAAP and SEC reporting requirements to properly address complex U.S. GAAP accounting issues and related disclosures.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been in the process of developing and implementing certain actions to remediate the material weakness that has been identified. We have taken, and are taking, certain actions to remediate the material weakness related to our lack of U.S. GAAP and SEC reporting experience. We engaged a consultant with U.S. GAAP knowledge and experience to supplement our current internal accounting personnel and assist us in the preparation of our financial statements to ensure that our financial statements are prepared in accordance with U.S. GAAP. We also engaged an internal control consulting firm in 2024 to review, test and improve our internal accounting controls and internal control over financial reporting. We have adopted and are implementing policies, procedures and practices recommended in the report of the consultant and have arranged training of internal control for our employees and management on disclosure controls and procedures. We continue to make efforts to implementing our existing and newly adopted procedures to improve our disclosure controls and internal controls over financing reporting.</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However, we cannot assure you that all these measures will be sufficient to remediate our material weakness in time, or at all. Moreover, the process of designing and implementing an effective financial reporting system is a continual effort that requires us to anticipate and react to changes in our business and the economic and regulatory environments and to expend significant resources to maintain a financial reporting system that is adequate to satisfy our reporting obligation. See “Item 3. Key Information—Risk Factors — Risks Related to Our Business and Industry — If we fail to implement and maintain an effective system of internal control over financial reporting, we may be unable to accurately report our results of operations and prevent fraud, and investor confidence and the market price of our ADSs may be materially and adversely affected.”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company with less than US$1.235 billion in revenues for fiscal year of 2025,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“—Management’s Annual Report on Internal Control over Financial Reporting.”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4" w:name="page155"/>
    <w:bookmarkEnd w:id="15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tab/>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Mr. Xinghong Hua, chairperson of our audit committee and an independent director (under the standards set forth in Rule 5605(a)(2) of the Nasdaq Stock Market Rules and Rule 10A-3 under the Exchange Act ), is an audit committee financial expert.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 code of ethics that applies to all of the directors, officers and employees. We have filed our code of business conduct and ethics as an exhibit to our registration statement on Form F-1 (No. 333-287877), which was incorporated by reference as an exhibit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Assentsure PAC, our principal external auditors, for the years indicated.</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80" w:type="dxa"/>
            <w:vAlign w:val="bottom"/>
          </w:tcPr>
          <w:p>
            <w:pPr>
              <w:spacing w:after="0"/>
              <w:rPr>
                <w:sz w:val="19"/>
                <w:szCs w:val="19"/>
                <w:color w:val="auto"/>
              </w:rPr>
            </w:pPr>
          </w:p>
        </w:tc>
        <w:tc>
          <w:tcPr>
            <w:tcW w:w="2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(RMB in thousands)</w:t>
            </w:r>
          </w:p>
        </w:tc>
        <w:tc>
          <w:tcPr>
            <w:tcW w:w="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2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2,516</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53" w:lineRule="exact"/>
        <w:rPr>
          <w:sz w:val="20"/>
          <w:szCs w:val="20"/>
          <w:color w:val="auto"/>
        </w:rPr>
      </w:pPr>
    </w:p>
    <w:p>
      <w:pPr>
        <w:ind w:left="340" w:hanging="332"/>
        <w:spacing w:after="0" w:line="282"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means the aggregate fees billed in each of the fiscal years listed for professional services rendered by our principal auditors for the audit of our annual financial statements and review of documents filed or furnished with the SEC.</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policy of our audit committee is to pre-approve all audit and non-audit services provided by Assentsure PAC, including audit services and other services as described above, other than those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services which are approved by the audit committee prior to the completion of the audit.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previously engaged KPMG Huazhen LLP, or KPMG, as our prior independent registered public accounting firm to audit our consolidated financial statements as of and for the years ended December 31, 2021 and 2022, who issued their report on December 22, 2023. On May 8, 2025, we dismissed KPMG and engaged Assentsure PAC, or Assentsure, as our new independent registered public accounting firm. The change of auditors was approved by our board of directors.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5" w:name="page156"/>
    <w:bookmarkEnd w:id="15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report of KPMG on the consolidated financial statements as of and for the years ended December 31, 2021 and 2022 did not contain any adverse opinion or disclaimer of opinion, nor was it qualified or modified as to uncertainty, audit scope, or accounting principles, except that KPMG’s report contained a separate paragraph stating that “the accompanying consolidated financial statements have been prepared assuming that the Company will continue as a going concern. As discussed in note 2(a) to the consolidated financial statements, the Company experienced recurring operating losses, had net cash used in operating activities and net current liabilities, that raise substantial doubt about its ability to continue as a going concern. Management’s plans in regard to these matters are also described in note 2(a). The consolidated financial statements do not include any adjustments that might result from the outcome of this uncertainty.” During the two fiscal years ended December 31, 2024 and the subsequent interim period through May 8, 2025, (i) there were no disagreements with KPMG on any matter of accounting principles or practices, financial statement disclosure, or auditing scope or procedure, which disagreements, if not resolved to the satisfaction of KPMG, would have caused KPMG to make reference to the subject matter of the disagreements in connection with its report on the consolidated financial statements, and (ii) there were no “reportable events” as defined under Item 16F(a)(1)(v) of Form 20-F, except for the material weakness in our internal control over financial reporting related to our lack of sufficient financial reporting and accounting personnel with appropriate knowledge of U.S. GAAP and SEC reporting requirements to properly address complex U.S. GAAP accounting issues and related disclosures. The board of directors discussed the material weakness with KPMG.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provided a copy of this disclosure to KPMG, and requested KPMG furnish us with a letter addressed to the SEC stating whether it agrees with the above statements, and if not, stating the respects in which it does not agree. A copy of such letter, dated June 9, 2025, is included as the Exhibit 15.4 to this annual report on Form 20-F.</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two fiscal years ended December 31, 2024 and the subsequent interim period through May 8, 2025, neither we nor any person on our behalf consulted with Assentsure regarding either (i) the application of accounting principles to a specific completed or contemplated transaction, or the type of audit opinion that might be rendered on our financial statements and no written or oral advice was provided by Assentsure that was an important factor considered by us in reaching a decision as to any accounting, auditing or financial reporting issue, or (ii) any matter that was the subject of a disagreement, as that term is defined in Item 16F(a)(1)(iv) and the related instructions to Item 16F of Form 20-F, or reportable event as that term is defined in Item 16F(a)(1)(v) of Form 20-F.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Cayman Islands exempted company listed on Nasdaq, we are subject to the Nasdaq Stock Market listing standards. However, Nasdaq rules permit a foreign private issuer like us to follow the corporate governance practices of its home country. Certain corporate governance practices in the Cayman Islands, which is our home country, may differ significantly from the Nasdaq listing standards. We currently intend to follow Cayman Islands corporate governance practices in lieu of the corporate governance requirements of Nasdaq that listed companies must have a majority of independent directors. Currently, two out of eight members of our board of directors are independent directors, which do not constitute a majority. To the extent that we choose to follow home country practice in the future, our shareholders may be afforded less protection than they otherwise would enjoy under the Nasdaq listing standards applicable to U.S. domestic issuers. See “Item 3. Key Information—D. Risk Factors—Risks Related to the ADSs—As an exempted company incorporated in the Cayman Islands, Yimutian Inc. is permitted to adopt certain home country practices in relation to corporate governance matters that differ significantly from the Nasdaq listing standards. These practices may afford less protection to shareholders than they would enjoy if we complied fully with the Nasdaq listing standards.”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as a “controlled company” as defined under the Nasdaq Stock Market Rules, we are permitted to elect to rely on certain exemptions from corporate governance rules. If we rely on these exemptions, you will not have the same protection afforded to shareholders of companies that are subject to these corporate governance requirements. As a result, you do not have the same protection afforded to shareholders of companies that are subject to these corporate governance requirements.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insider trading policies and procedures to provide guidance on the purchase, sale, and other dispositions of our securities by our directors, officers, employees, consultants, and other relevant persons to promote compliance with applicable insider trading laws, rules and regulations, and listing standards.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Statement of Policies Governing Material Non-Public Information and The Prevention of Insider Trading is filed as Exhibit 11.2 to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established comprehensive cybersecurity risk assessment procedures as an integral part of our overall enterprise risk management system. These procedures are designed to identify, assess, and manage both potential and existing cybersecurity threats. We have a dedicated in-house IT department, led by our cybersecurity officer, that identifies, assesses and manages cybersecurity risks on a daily basis. We provide regular training programs to ensure that our employees possess the basic knowledge and principles of information security, maintain a sound responding and disposal mechanism for system security, external attacks and violations, and safeguarded the confidentiality of information and data of the company, employees and users, making sure information and data can only be obtained and used when necessary.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maintain a robust data security program to protect the confidentiality and integrity of our data across all aspects of data collection and processing. We utilize a variety of technologies to protect our servers from fire, physical shock, theft and other forms of physical harm. On the back end, our servers, databases and information technology networks utilize firewalls, anti-DDoS, intrusion prevention systems, real-time server monitoring and other network cybersecurity technologies. We also utilize a wide range of protective technologies at the application level, including security access code systems, web application firewalls and simulated hacking tests. We back up user and historical data on a regular basis using “hot” backup systems to minimize the risk of data loss or leakage. We also conduct frequent reviews of our backup and data recovery systems, including through regular disaster recovery testing, to ensure that our systems are operating properly.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is responsible for overseeing our cybersecurity risk management. Our board of directors (i) maintain oversight of the disclosure related to cybersecurity matters in periodic reports of our company, (ii) review updates to the status of any material cybersecurity incidents or material risks from cybersecurity threats to our company, and the relevant disclosure issues, if any, presented by our chief executive officer, chief financial officer and cybersecurity officer on a quarterly basis, and (iii) review disclosure concerning cybersecurity matters in our annual report on Form 20-F presented by our chief executive officer, chief financial officer and cybersecurity officer.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management level, our chief executive officer, chief financial officer and cybersecurity officer are responsible for assessing, identifying and managing material risks from cybersecurity threats to our company and monitoring the prevention, detection, mitigation and remediation of material cybersecurity incident. They report to our board of directors (i) on a quarterly basis on updates to the status of any material cybersecurity incidents or material risks from cybersecurity threats to our company, and the relevant disclosure issues, if any, and (ii) on disclosure concerning cybersecurity matters in our annual report on Form 20-F.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of Yimutian Inc. and its subsidiaries are included at the end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10400" w:type="dxa"/>
            <w:vAlign w:val="bottom"/>
            <w:gridSpan w:val="15"/>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41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900" w:type="dxa"/>
            <w:vAlign w:val="bottom"/>
            <w:gridSpan w:val="9"/>
          </w:tcPr>
          <w:p>
            <w:pPr>
              <w:ind w:left="13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86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Thirteenth Amended and Restated Memorandum and Articles of Association of the Registrant (incorporated herein by reference to Exhibit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registration statement on Form F-1 (File No. 333-287877), as amended, initially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Commission on June 9, 2025)</w:t>
              </w:r>
            </w:hyperlink>
          </w:p>
        </w:tc>
        <w:tc>
          <w:tcPr>
            <w:tcW w:w="7940" w:type="dxa"/>
            <w:vAlign w:val="bottom"/>
            <w:tcBorders>
              <w:bottom w:val="single" w:sz="8" w:color="CCEEFF"/>
              <w:right w:val="single" w:sz="8" w:color="CCEEFF"/>
            </w:tcBorders>
            <w:gridSpan w:val="9"/>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12"/>
          </w:tcPr>
          <w:p>
            <w:pPr>
              <w:spacing w:after="0" w:line="17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Registrant’s Specimen American Depositary Receipt (included in Exhibit 2.3)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Registrant’s Specimen Certificate for Class A Ordinary Shares (incorporated herein by reference to Exhibit 4.2 to the registration statement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on Form F-1 (File No. 333-287877), as amended, initially filed with the Securities and Exchange Commission on June 9, 2025)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Form of Deposit Agreement, among the Registrant, the depositary, and the holders and beneficial owners of American Depositary Receipts</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issued thereunder (incorporated herein by reference to Exhibit 4.3 to the registration statement on Form F-1 (File No. 333-287877), as</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amended, initially filed with the Securities and Exchange Commission on June 9, 2025)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Seventh Amended and Restated Shareholders’ Agreement by and among the Registrant and certain other parties as listed therein dated May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560" w:type="dxa"/>
            <w:vAlign w:val="bottom"/>
            <w:tcBorders>
              <w:right w:val="single" w:sz="8" w:color="CCEEFF"/>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8, 2021 (incorporated herein by reference to Exhibit 4.4 to the registration statement on Form F-1 (File No. 333-287877), as amended,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580" w:type="dxa"/>
            <w:vAlign w:val="bottom"/>
            <w:tcBorders>
              <w:top w:val="single" w:sz="8" w:color="0000EE"/>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initially filed with the Securities and Exchange Commission on June 9, 2025)</w:t>
              </w:r>
            </w:hyperlink>
          </w:p>
        </w:tc>
        <w:tc>
          <w:tcPr>
            <w:tcW w:w="4520" w:type="dxa"/>
            <w:vAlign w:val="bottom"/>
            <w:tcBorders>
              <w:top w:val="single" w:sz="8" w:color="0000EE"/>
              <w:bottom w:val="single" w:sz="8" w:color="CCEEFF"/>
              <w:right w:val="single" w:sz="8" w:color="CCEEFF"/>
            </w:tcBorders>
            <w:gridSpan w:val="7"/>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12"/>
          </w:tcPr>
          <w:p>
            <w:pPr>
              <w:spacing w:after="0" w:line="17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Description of Securities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Form of Senior Unsecured Convertible Promissory Note (incorporated herein by reference to Exhibit 10.2 to the Report of Foreign Private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Issuer on Form 6-K filed with the Securities and Exchange Commission on December 9, 2025)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12"/>
          </w:tcPr>
          <w:p>
            <w:pPr>
              <w:spacing w:after="0" w:line="17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2015 Share Incentive Plan (incorporated herein by reference to Exhibit 10.1 to the registration statement on Form F-1 (File No. 333-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287877)</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 xml:space="preserve"> as amended, initially filed with the Securities and Exchange Commission on June 9, 2025)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2025 Share Incentive Plan (incorporated herein by reference to Exhibit 10.2 to the registration statement on Form F-1 (File No. 333-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287877)</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 xml:space="preserve"> as amended, initially filed with the Securities and Exchange Commission on June 9, 2025)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Form of Indemnification Agreement between the Registrant and its directors and executive officers (incorporated herein by reference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Exhibit 10.3 to the registration statement on Form F-1 (File No. 333-287877), as amended, initially filed with the Securities and Exchange</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Commission on June 9, 2025)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Form of Employment Agreement between the Registrant and its executive officers (incorporated herein by reference to Exhibit 10.4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registration statement on Form F-1 (File No. 333-287877), as amended, initially filed with the Securities and Exchange Commission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8"/>
              </w:rPr>
            </w:pPr>
            <w:hyperlink r:id="rId189">
              <w:r>
                <w:rPr>
                  <w:rFonts w:ascii="Times New Roman" w:cs="Times New Roman" w:eastAsia="Times New Roman" w:hAnsi="Times New Roman"/>
                  <w:sz w:val="18"/>
                  <w:szCs w:val="18"/>
                  <w:color w:val="0000EE"/>
                  <w:w w:val="98"/>
                </w:rPr>
                <w:t>June 9, 2025)</w:t>
              </w:r>
            </w:hyperlink>
          </w:p>
        </w:tc>
        <w:tc>
          <w:tcPr>
            <w:tcW w:w="9120" w:type="dxa"/>
            <w:vAlign w:val="bottom"/>
            <w:tcBorders>
              <w:bottom w:val="single" w:sz="8" w:color="CCEEFF"/>
              <w:right w:val="single" w:sz="8" w:color="CCEEFF"/>
            </w:tcBorders>
            <w:gridSpan w:val="11"/>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English translation of the Exclusive Business Cooperation Agreement between Beijing Yimutian Network Technology Co., Ltd. and Beijing</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Yimutian Xinnong Network Co., Ltd. (incorporated herein by reference to Exhibit 10.5 to the registration statement on Form F-1 (File No.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3"/>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333-287877), as amended, initially filed with the Securities and Exchange Commission on June 9, 2025)</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English translation of the Exclusive Option Agreement among Beijing Yimutian Network Technology Co., Ltd., Beijing Yimutian Xinnong</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Network Co., Ltd. and shareholders of Beijing Yimutian Xinnong Network Co., Ltd. dated October 18, 2023 (incorporated herein by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20" w:type="dxa"/>
            <w:vAlign w:val="bottom"/>
            <w:gridSpan w:val="4"/>
            <w:shd w:val="clear" w:color="auto" w:fill="0000EE"/>
          </w:tcPr>
          <w:p>
            <w:pPr>
              <w:spacing w:after="0" w:line="20" w:lineRule="exact"/>
              <w:rPr>
                <w:sz w:val="1"/>
                <w:szCs w:val="1"/>
                <w:color w:val="auto"/>
              </w:rPr>
            </w:pPr>
          </w:p>
        </w:tc>
        <w:tc>
          <w:tcPr>
            <w:tcW w:w="6880" w:type="dxa"/>
            <w:vAlign w:val="bottom"/>
            <w:tcBorders>
              <w:right w:val="single" w:sz="8" w:color="CCEEFF"/>
            </w:tcBorders>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reference to Exhibit 10.6 to the registration statement on Form F-1 (File No. 333-287877), as amended, initially filed with the Securities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20" w:type="dxa"/>
            <w:vAlign w:val="bottom"/>
            <w:tcBorders>
              <w:top w:val="single" w:sz="8" w:color="0000EE"/>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and Exchange Commission on June 9, 2025)</w:t>
              </w:r>
            </w:hyperlink>
          </w:p>
        </w:tc>
        <w:tc>
          <w:tcPr>
            <w:tcW w:w="6880" w:type="dxa"/>
            <w:vAlign w:val="bottom"/>
            <w:tcBorders>
              <w:top w:val="single" w:sz="8" w:color="0000EE"/>
              <w:bottom w:val="single" w:sz="8" w:color="CCEEFF"/>
              <w:right w:val="single" w:sz="8" w:color="CCEEFF"/>
            </w:tcBorders>
            <w:gridSpan w:val="8"/>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2"/>
        </w:trPr>
        <w:tc>
          <w:tcPr>
            <w:tcW w:w="8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gridSpan w:val="7"/>
          </w:tcPr>
          <w:p>
            <w:pPr>
              <w:jc w:val="right"/>
              <w:ind w:right="870"/>
              <w:spacing w:after="0"/>
              <w:rPr>
                <w:sz w:val="20"/>
                <w:szCs w:val="20"/>
                <w:color w:val="auto"/>
              </w:rPr>
            </w:pPr>
            <w:r>
              <w:rPr>
                <w:rFonts w:ascii="Times New Roman" w:cs="Times New Roman" w:eastAsia="Times New Roman" w:hAnsi="Times New Roman"/>
                <w:sz w:val="18"/>
                <w:szCs w:val="18"/>
                <w:color w:val="auto"/>
              </w:rPr>
              <w:t>152</w:t>
            </w: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40" w:type="dxa"/>
            <w:vAlign w:val="bottom"/>
            <w:gridSpan w:val="8"/>
          </w:tcPr>
          <w:p>
            <w:pPr>
              <w:ind w:left="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English translation of the Equity Pledge Agreement among Beijing Yimutian Network Technology Co., Ltd., Beijing Yimutian Xinnong</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Network Co., Ltd. and shareholders of Beijing Yimutian Xinnong Network Co., Ltd. dated October 18, 2023 (incorporated herein by</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reference to Exhibit 10.7 to the registration statement on Form F-1 (File No. 333-287877), as amended, initially filed with the Securities</w:t>
              </w:r>
            </w:hyperlink>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20" w:type="dxa"/>
            <w:vAlign w:val="bottom"/>
            <w:tcBorders>
              <w:top w:val="single" w:sz="8" w:color="0000EE"/>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and Exchange Commission on June 9, 2025)</w:t>
              </w:r>
            </w:hyperlink>
          </w:p>
        </w:tc>
        <w:tc>
          <w:tcPr>
            <w:tcW w:w="6860" w:type="dxa"/>
            <w:vAlign w:val="bottom"/>
            <w:tcBorders>
              <w:top w:val="single" w:sz="8" w:color="0000EE"/>
              <w:bottom w:val="single" w:sz="8" w:color="CCEEFF"/>
            </w:tcBorders>
            <w:gridSpan w:val="8"/>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Form of English translation of Powers of Attorney among Beijing Yimutian Network Technology Co., Ltd., Beijing Yimutian Xinnong</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Network Co., Ltd. and shareholders of Beijing Yimutian Xinnong Network Co., Ltd. dated October 18, 2023 (incorporated herein by</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reference to Exhibit 10.8 to the registration statement on Form F-1 (File No. 333-287877), as amended, initially filed with the Securities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and Exchange Commission on June 9, 2025)</w:t>
              </w:r>
            </w:hyperlink>
          </w:p>
        </w:tc>
        <w:tc>
          <w:tcPr>
            <w:tcW w:w="2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Form of English translation of Letter of Confirmation and Undertakings executed by shareholders of Beijing Yimutian Xinnong Network</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Co., Ltd. dated October 18, 2023 (incorporated herein by reference to Exhibit 10.9 to the registration statement on Form F-1 (File No. 333-</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287877)</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 xml:space="preserve"> as amended, initially filed with the Securities and Exchange Commission on June 9, 2025)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22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3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Form of English translation of Spousal Consent Letters executed by the spouses of applicable individual shareholders of Beijing Yimutian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Xinnong Network Co., Ltd. dated October 18, 2023 (incorporated herein by reference to Exhibit 10.10 to the registration statement on Form</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F-1 (File No. 333-287877), as amended, initially filed with the Securities and Exchange Commission on June 9,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English translation of the Exclusive Business Cooperation Agreement between Beijing Yimutian Network Technology Co., Ltd. and Beijing</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Douniu Network Technology Co., Ltd. (incorporated herein by reference to Exhibit 10.11 to the registration statement on Form F-1 (File</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No. 333-287877), as amended, initially filed with the Securities and Exchange Commission on June 9, 2025)</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22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3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5"/>
                <w:szCs w:val="15"/>
                <w:color w:val="auto"/>
              </w:rPr>
            </w:pPr>
          </w:p>
        </w:tc>
        <w:tc>
          <w:tcPr>
            <w:tcW w:w="10100" w:type="dxa"/>
            <w:vAlign w:val="bottom"/>
            <w:gridSpan w:val="11"/>
          </w:tcPr>
          <w:p>
            <w:pPr>
              <w:spacing w:after="0" w:line="17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English translation of the Exclusive Option Agreement among Beijing Yimutian Network Technology Co., Ltd., Beijing Douniu Network</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Technology Co., Ltd. and shareholders of Beijing Douniu Network Technology Co., Ltd. dated October 18, 2023 (incorporated herein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reference to Exhibit 10.12 to the registration statement on Form F-1 (File No. 333-287877), as amended, initially filed with the Securities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and Exchange Commission on June 9,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English translation of the Equity Pledge Agreement among Beijing Yimutian Network Technology Co., Ltd., Beijing Douniu Network</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Technology Co., Ltd. and shareholders of Beijing Douniu Network Technology Co., Ltd. dated October 18, 2023 (incorporated herein by</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reference to Exhibit 10.13 to the registration statement on Form F-1 (File No. 333-287877), as amended, initially filed with the Securities</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2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and Exchange Commission on June 9, 2025)</w:t>
              </w:r>
            </w:hyperlink>
          </w:p>
        </w:tc>
        <w:tc>
          <w:tcPr>
            <w:tcW w:w="6880" w:type="dxa"/>
            <w:vAlign w:val="bottom"/>
            <w:tcBorders>
              <w:bottom w:val="single" w:sz="8" w:color="CCEEFF"/>
            </w:tcBorders>
            <w:gridSpan w:val="9"/>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5"/>
                <w:szCs w:val="15"/>
                <w:color w:val="auto"/>
              </w:rPr>
            </w:pPr>
          </w:p>
        </w:tc>
        <w:tc>
          <w:tcPr>
            <w:tcW w:w="10100" w:type="dxa"/>
            <w:vAlign w:val="bottom"/>
            <w:gridSpan w:val="11"/>
          </w:tcPr>
          <w:p>
            <w:pPr>
              <w:spacing w:after="0" w:line="17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Form of English translation of Powers of Attorney among Beijing Yimutian Network Technology Co., Ltd., Beijing Douniu Network</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Technology Co., Ltd. and shareholders of Beijing Douniu Network Technology Co., Ltd. dated October 18, 2023 (incorporated herein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reference to Exhibit 10.14 to the registration statement on Form F-1 (File No. 333-287877), as amended, initially filed with the Securities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and Exchange Commission on June 9,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4.15</w:t>
            </w:r>
          </w:p>
        </w:tc>
        <w:tc>
          <w:tcPr>
            <w:tcW w:w="120" w:type="dxa"/>
            <w:vAlign w:val="bottom"/>
            <w:shd w:val="clear" w:color="auto" w:fill="CCEEFF"/>
          </w:tcPr>
          <w:p>
            <w:pPr>
              <w:spacing w:after="0"/>
              <w:rPr>
                <w:sz w:val="15"/>
                <w:szCs w:val="15"/>
                <w:color w:val="auto"/>
              </w:rPr>
            </w:pPr>
          </w:p>
        </w:tc>
        <w:tc>
          <w:tcPr>
            <w:tcW w:w="10100" w:type="dxa"/>
            <w:vAlign w:val="bottom"/>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Form of English translation of Letter of Confirmation and Undertakings executed by shareholders of Beijing Douniu Network Technology</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Co., Ltd. dated October 18, 2023 (incorporated herein by reference to Exhibit 10.15 to the registration statement on Form F-1 (File No.</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54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333-287877), as amended, initially filed with the Securities and Exchange Commission on June 9, 2025)</w:t>
              </w:r>
            </w:hyperlink>
          </w:p>
        </w:tc>
        <w:tc>
          <w:tcPr>
            <w:tcW w:w="2560" w:type="dxa"/>
            <w:vAlign w:val="bottom"/>
            <w:tcBorders>
              <w:bottom w:val="single" w:sz="8" w:color="CCEEFF"/>
            </w:tcBorders>
            <w:gridSpan w:val="6"/>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Form of English translation of Spousal Consent Letters executed by the spouses of individual shareholders of Beijing Douniu Network</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Technology Co., Ltd. dated October 18, 2023 (incorporated herein by reference to Exhibit 10.16 to the registration statement on Form F-1</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(File No. 333-287877), as amended, initially filed with the Securities and Exchange Commission on June 9, 2025)</w:t>
              </w:r>
            </w:hyperlink>
          </w:p>
        </w:tc>
        <w:tc>
          <w:tcPr>
            <w:tcW w:w="2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4.17</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English translation of Investment Agreement between Dezhou Decai Industrial Innovation Equity Investment Fund (Limited Partnership)</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and Beijing Yimutian Network Technology Co., Ltd. dated September 5, 2022  (incorporated herein by reference to Exhibit 10.17 to the</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registration statement on Form F-1 (File No. 333-287877), as amended, initially filed with the Securities and Exchange Commission on</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8"/>
              </w:rPr>
            </w:pPr>
            <w:hyperlink r:id="rId202">
              <w:r>
                <w:rPr>
                  <w:rFonts w:ascii="Times New Roman" w:cs="Times New Roman" w:eastAsia="Times New Roman" w:hAnsi="Times New Roman"/>
                  <w:sz w:val="18"/>
                  <w:szCs w:val="18"/>
                  <w:color w:val="0000EE"/>
                  <w:w w:val="98"/>
                </w:rPr>
                <w:t>June 9, 2025)</w:t>
              </w:r>
            </w:hyperlink>
          </w:p>
        </w:tc>
        <w:tc>
          <w:tcPr>
            <w:tcW w:w="9120" w:type="dxa"/>
            <w:vAlign w:val="bottom"/>
            <w:tcBorders>
              <w:bottom w:val="single" w:sz="8" w:color="CCEEFF"/>
            </w:tcBorders>
            <w:gridSpan w:val="10"/>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English translation of Supplemental Agreement between Dezhou Decai Industrial Innovation Equity Investment Fund (Limited Partnership)</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and Beijing Yimutian Network Technology Co., Ltd. dated September 8, 2023 (incorporated herein by reference to Exhibit 10.18 to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registration statement on Form F-1 (File No. 333-287877), as amended, initially filed with the Securities and Exchange Commission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June 9,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Form of Securities Purchase Agreement dated as of December 8, 2025 (incorporated herein by reference to Exhibit 10.1 to the current</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report on Form 6-K, as amended, filed with the Securities and Exchange Commission on December 9, 2025)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22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3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Form of Registration Rights Agreement dated as of December 8, 2025 (incorporated herein by reference to Exhibit 10.3 to the current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report on Form 6-K, as amended, filed with the Securities and Exchange Commission on December 9,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8.1†</w:t>
            </w:r>
          </w:p>
        </w:tc>
        <w:tc>
          <w:tcPr>
            <w:tcW w:w="406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List of Principal Subsidiaries and VIEs of the Registrant</w:t>
              </w:r>
            </w:hyperlink>
          </w:p>
        </w:tc>
        <w:tc>
          <w:tcPr>
            <w:tcW w:w="6040" w:type="dxa"/>
            <w:vAlign w:val="bottom"/>
            <w:tcBorders>
              <w:bottom w:val="single" w:sz="8" w:color="CCEEFF"/>
            </w:tcBorders>
            <w:gridSpan w:val="8"/>
            <w:shd w:val="clear" w:color="auto" w:fill="CCEEFF"/>
          </w:tcPr>
          <w:p>
            <w:pPr>
              <w:spacing w:after="0"/>
              <w:rPr>
                <w:sz w:val="17"/>
                <w:szCs w:val="17"/>
                <w:color w:val="auto"/>
              </w:rPr>
            </w:pPr>
          </w:p>
        </w:tc>
      </w:tr>
      <w:tr>
        <w:trPr>
          <w:trHeight w:val="682"/>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gridSpan w:val="4"/>
          </w:tcPr>
          <w:p>
            <w:pPr>
              <w:ind w:left="4340"/>
              <w:spacing w:after="0"/>
              <w:rPr>
                <w:sz w:val="20"/>
                <w:szCs w:val="20"/>
                <w:color w:val="auto"/>
              </w:rPr>
            </w:pPr>
            <w:r>
              <w:rPr>
                <w:rFonts w:ascii="Times New Roman" w:cs="Times New Roman" w:eastAsia="Times New Roman" w:hAnsi="Times New Roman"/>
                <w:sz w:val="18"/>
                <w:szCs w:val="18"/>
                <w:color w:val="auto"/>
              </w:rPr>
              <w:t>153</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159" w:name="page160"/>
    <w:bookmarkEnd w:id="1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560" w:type="dxa"/>
            <w:vAlign w:val="bottom"/>
            <w:gridSpan w:val="6"/>
          </w:tcPr>
          <w:p>
            <w:pPr>
              <w:ind w:left="10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Code of Business Conduct and Ethics of the Registrant (incorporated herein by reference to Exhibit 99.1 to the registration statement on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96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Form F-1 (File No. 333-287877), as amended, initially filed with the Securities and Exchange Commission on June 9, 2025)</w:t>
              </w:r>
            </w:hyperlink>
          </w:p>
        </w:tc>
        <w:tc>
          <w:tcPr>
            <w:tcW w:w="11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11.2†</w:t>
            </w:r>
          </w:p>
        </w:tc>
        <w:tc>
          <w:tcPr>
            <w:tcW w:w="10100" w:type="dxa"/>
            <w:vAlign w:val="bottom"/>
            <w:gridSpan w:val="10"/>
          </w:tcPr>
          <w:p>
            <w:pPr>
              <w:spacing w:after="0" w:line="17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Statement of Policies Governing Material Non-Public Information and The Prevention of Insider Trading of the Registrant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17"/>
                <w:szCs w:val="17"/>
                <w:color w:val="auto"/>
              </w:rPr>
            </w:pPr>
          </w:p>
        </w:tc>
        <w:tc>
          <w:tcPr>
            <w:tcW w:w="74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by Principal Executive Officer Pursuant to Section 302 of the Sarbanes-Oxley Act of 2002</w:t>
            </w:r>
          </w:p>
        </w:tc>
        <w:tc>
          <w:tcPr>
            <w:tcW w:w="2620" w:type="dxa"/>
            <w:vAlign w:val="bottom"/>
            <w:tcBorders>
              <w:bottom w:val="single" w:sz="8" w:color="CCEEFF"/>
            </w:tcBorders>
            <w:gridSpan w:val="3"/>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5"/>
                <w:szCs w:val="15"/>
                <w:color w:val="auto"/>
              </w:rPr>
            </w:pPr>
          </w:p>
        </w:tc>
        <w:tc>
          <w:tcPr>
            <w:tcW w:w="101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Certification by Principal Financial Officer Pursuant to Section 302 of the Sarbanes-Oxley Act of 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17"/>
                <w:szCs w:val="17"/>
                <w:color w:val="auto"/>
              </w:rPr>
            </w:pPr>
          </w:p>
        </w:tc>
        <w:tc>
          <w:tcPr>
            <w:tcW w:w="74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by Principal Executive Officer Pursuant to Section 906 of the Sarbanes-Oxley Act of 2002</w:t>
            </w:r>
          </w:p>
        </w:tc>
        <w:tc>
          <w:tcPr>
            <w:tcW w:w="2620" w:type="dxa"/>
            <w:vAlign w:val="bottom"/>
            <w:tcBorders>
              <w:bottom w:val="single" w:sz="8" w:color="CCEEFF"/>
            </w:tcBorders>
            <w:gridSpan w:val="3"/>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5"/>
                <w:szCs w:val="15"/>
                <w:color w:val="auto"/>
              </w:rPr>
            </w:pPr>
          </w:p>
        </w:tc>
        <w:tc>
          <w:tcPr>
            <w:tcW w:w="101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Certification by Principal Financial Officer Pursuant to Section 906 of the Sarbanes-Oxley Act of 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15.1†</w:t>
            </w:r>
          </w:p>
        </w:tc>
        <w:tc>
          <w:tcPr>
            <w:tcW w:w="1010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Consent of Maples and Calder (Hong Kong) LLP</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15.2†</w:t>
            </w:r>
          </w:p>
        </w:tc>
        <w:tc>
          <w:tcPr>
            <w:tcW w:w="3560" w:type="dxa"/>
            <w:vAlign w:val="bottom"/>
            <w:tcBorders>
              <w:top w:val="single" w:sz="8" w:color="0000EE"/>
            </w:tcBorders>
            <w:gridSpan w:val="5"/>
          </w:tcPr>
          <w:p>
            <w:pPr>
              <w:spacing w:after="0" w:line="17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Consent of Global Law Office</w:t>
              </w:r>
            </w:hyperlink>
          </w:p>
        </w:tc>
        <w:tc>
          <w:tcPr>
            <w:tcW w:w="6540" w:type="dxa"/>
            <w:vAlign w:val="bottom"/>
            <w:tcBorders>
              <w:top w:val="single" w:sz="8" w:color="CCEE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15.3†</w:t>
            </w:r>
          </w:p>
        </w:tc>
        <w:tc>
          <w:tcPr>
            <w:tcW w:w="200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8"/>
              </w:rPr>
            </w:pPr>
            <w:hyperlink r:id="rId211">
              <w:r>
                <w:rPr>
                  <w:rFonts w:ascii="Times New Roman" w:cs="Times New Roman" w:eastAsia="Times New Roman" w:hAnsi="Times New Roman"/>
                  <w:sz w:val="18"/>
                  <w:szCs w:val="18"/>
                  <w:color w:val="0000EE"/>
                  <w:w w:val="98"/>
                </w:rPr>
                <w:t>Consent of Assentsure PAC</w:t>
              </w:r>
            </w:hyperlink>
          </w:p>
        </w:tc>
        <w:tc>
          <w:tcPr>
            <w:tcW w:w="8100" w:type="dxa"/>
            <w:vAlign w:val="bottom"/>
            <w:tcBorders>
              <w:bottom w:val="single" w:sz="8" w:color="CCEEFF"/>
            </w:tcBorders>
            <w:gridSpan w:val="8"/>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Letter from KPMG Huazhen LLP to the Securities and Exchange Commission (incorporated herein by reference to Exhibit 16.1 to the</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registration statement on Form F-1 (File No. 333-287877), as amended, initially filed with the Securities and Exchange Commission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1"/>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June 9, 2025)</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248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Clawback Policy of the Registrant</w:t>
              </w:r>
            </w:hyperlink>
          </w:p>
        </w:tc>
        <w:tc>
          <w:tcPr>
            <w:tcW w:w="7620" w:type="dxa"/>
            <w:vAlign w:val="bottom"/>
            <w:tcBorders>
              <w:bottom w:val="single" w:sz="8" w:color="CCEEFF"/>
            </w:tcBorders>
            <w:gridSpan w:val="6"/>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0"/>
          </w:tcPr>
          <w:p>
            <w:pPr>
              <w:spacing w:after="0" w:line="198" w:lineRule="exact"/>
              <w:rPr>
                <w:sz w:val="20"/>
                <w:szCs w:val="20"/>
                <w:color w:val="auto"/>
              </w:rPr>
            </w:pPr>
            <w:r>
              <w:rPr>
                <w:rFonts w:ascii="Times New Roman" w:cs="Times New Roman" w:eastAsia="Times New Roman" w:hAnsi="Times New Roman"/>
                <w:sz w:val="18"/>
                <w:szCs w:val="18"/>
                <w:color w:val="auto"/>
                <w:w w:val="99"/>
              </w:rPr>
              <w:t>Inline XBRL Instance Document—this instance document does not appear in the Interactive Data File because its XBRL tags are embedded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Exhibit 101 Inline XBRL document set)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8" w:lineRule="exact"/>
        <w:rPr>
          <w:sz w:val="20"/>
          <w:szCs w:val="20"/>
          <w:color w:val="auto"/>
        </w:rPr>
      </w:pPr>
    </w:p>
    <w:p>
      <w:pPr>
        <w:ind w:left="340" w:hanging="332"/>
        <w:spacing w:after="0"/>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340" w:hanging="332"/>
        <w:spacing w:after="0"/>
        <w:tabs>
          <w:tab w:leader="none" w:pos="3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5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Previously filed.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Jinhong Deng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Jinhong Deng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and Chief</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18,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60" w:type="dxa"/>
            <w:vAlign w:val="bottom"/>
            <w:gridSpan w:val="5"/>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Yimutian Inc.</w:t>
            </w:r>
          </w:p>
        </w:tc>
        <w:tc>
          <w:tcPr>
            <w:tcW w:w="1120" w:type="dxa"/>
            <w:vAlign w:val="bottom"/>
          </w:tcPr>
          <w:p>
            <w:pPr>
              <w:spacing w:after="0"/>
              <w:rPr>
                <w:sz w:val="20"/>
                <w:szCs w:val="20"/>
                <w:color w:val="auto"/>
              </w:rPr>
            </w:pPr>
          </w:p>
        </w:tc>
      </w:tr>
      <w:tr>
        <w:trPr>
          <w:trHeight w:val="432"/>
        </w:trPr>
        <w:tc>
          <w:tcPr>
            <w:tcW w:w="10120" w:type="dxa"/>
            <w:vAlign w:val="bottom"/>
            <w:gridSpan w:val="8"/>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INDEX TO THE CONSOLIDATED FINANCIAL STATEMENTS</w:t>
            </w:r>
          </w:p>
        </w:tc>
        <w:tc>
          <w:tcPr>
            <w:tcW w:w="1120" w:type="dxa"/>
            <w:vAlign w:val="bottom"/>
          </w:tcPr>
          <w:p>
            <w:pPr>
              <w:spacing w:after="0"/>
              <w:rPr>
                <w:sz w:val="24"/>
                <w:szCs w:val="24"/>
                <w:color w:val="auto"/>
              </w:rPr>
            </w:pPr>
          </w:p>
        </w:tc>
      </w:tr>
      <w:tr>
        <w:trPr>
          <w:trHeight w:val="439"/>
        </w:trPr>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196"/>
        </w:trPr>
        <w:tc>
          <w:tcPr>
            <w:tcW w:w="10020" w:type="dxa"/>
            <w:vAlign w:val="bottom"/>
            <w:tcBorders>
              <w:top w:val="single" w:sz="8" w:color="auto"/>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42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5900" w:type="dxa"/>
            <w:vAlign w:val="bottom"/>
            <w:tcBorders>
              <w:top w:val="single" w:sz="8" w:color="CCEEFF"/>
            </w:tcBorders>
            <w:gridSpan w:val="6"/>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46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2024 and 2025</w:t>
            </w:r>
          </w:p>
        </w:tc>
        <w:tc>
          <w:tcPr>
            <w:tcW w:w="5460" w:type="dxa"/>
            <w:vAlign w:val="bottom"/>
            <w:tcBorders>
              <w:bottom w:val="single" w:sz="8" w:color="CCEEFF"/>
            </w:tcBorders>
            <w:gridSpan w:val="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 – F-4</w:t>
            </w:r>
          </w:p>
        </w:tc>
      </w:tr>
      <w:tr>
        <w:trPr>
          <w:trHeight w:val="175"/>
        </w:trPr>
        <w:tc>
          <w:tcPr>
            <w:tcW w:w="101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2023, 2024 and 2025</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3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Shareholders’ Deficit for the Years Ended December 31, 2023, 2024 and 2025</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5"/>
        </w:trPr>
        <w:tc>
          <w:tcPr>
            <w:tcW w:w="850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2024 and 2025</w:t>
            </w:r>
          </w:p>
        </w:tc>
        <w:tc>
          <w:tcPr>
            <w:tcW w:w="1620" w:type="dxa"/>
            <w:vAlign w:val="bottom"/>
            <w:tcBorders>
              <w:top w:val="single" w:sz="8" w:color="CCEEFF"/>
            </w:tcBorders>
            <w:gridSpan w:val="2"/>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1"/>
        </w:trPr>
        <w:tc>
          <w:tcPr>
            <w:tcW w:w="3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F-8 – F-50</w:t>
            </w:r>
          </w:p>
        </w:tc>
      </w:tr>
      <w:tr>
        <w:trPr>
          <w:trHeight w:val="655"/>
        </w:trPr>
        <w:tc>
          <w:tcPr>
            <w:tcW w:w="342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5460" w:type="dxa"/>
            <w:vAlign w:val="bottom"/>
            <w:tcBorders>
              <w:top w:val="single" w:sz="8" w:color="CCEEFF"/>
              <w:bottom w:val="single" w:sz="8" w:color="auto"/>
            </w:tcBorders>
            <w:gridSpan w:val="5"/>
          </w:tcPr>
          <w:p>
            <w:pPr>
              <w:jc w:val="center"/>
              <w:ind w:right="3540"/>
              <w:spacing w:after="0"/>
              <w:rPr>
                <w:sz w:val="20"/>
                <w:szCs w:val="20"/>
                <w:color w:val="auto"/>
              </w:rPr>
            </w:pPr>
            <w:r>
              <w:rPr>
                <w:rFonts w:ascii="Times New Roman" w:cs="Times New Roman" w:eastAsia="Times New Roman" w:hAnsi="Times New Roman"/>
                <w:sz w:val="18"/>
                <w:szCs w:val="18"/>
                <w:color w:val="auto"/>
                <w:w w:val="95"/>
              </w:rPr>
              <w:t>F-1</w:t>
            </w:r>
          </w:p>
        </w:tc>
        <w:tc>
          <w:tcPr>
            <w:tcW w:w="1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62" w:name="page163"/>
    <w:bookmarkEnd w:id="162"/>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226060</wp:posOffset>
            </wp:positionV>
            <wp:extent cx="5143500" cy="7029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5143500" cy="70294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Yimutian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Yimutian Inc. and its subsidiaries (collectively, the “Company”) as of December 31, 2025 and 2024, the related consolidated statements of comprehensive loss, changes in shareholders’ deficit, and consolidated statements of cash flows for each of the three years in the period ended December 31, 2025 and the related notes (collectively referred to as the “financial statements”). In our opinion, the financial statements present fairly, in all material respects, the financial positions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has incurred recurring losses, has negative cash flows from operations, and has a net current liability position as of December 31, 2025. These conditions raise substantial doubt about the Company’s ability to continue as a going concern.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Management’s plans regarding these matters are also described in Note 2. The consolidated financial statements do not include any adjustments that might result from the outcome of this uncertainty.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opinion is not modified with respect to this matter.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the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Assentsure PAC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May 15,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6783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5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20"/>
                <w:szCs w:val="20"/>
                <w:color w:val="auto"/>
              </w:rPr>
            </w:pPr>
          </w:p>
        </w:tc>
        <w:tc>
          <w:tcPr>
            <w:tcW w:w="15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ASSETS</w:t>
            </w: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15,656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5,438</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47,218</w:t>
            </w:r>
          </w:p>
        </w:tc>
        <w:tc>
          <w:tcPr>
            <w:tcW w:w="2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154,115</w:t>
            </w:r>
          </w:p>
        </w:tc>
        <w:tc>
          <w:tcPr>
            <w:tcW w:w="2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22,038</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9,589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13,805</w:t>
            </w:r>
          </w:p>
        </w:tc>
        <w:tc>
          <w:tcPr>
            <w:tcW w:w="2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6,986</w:t>
            </w:r>
          </w:p>
        </w:tc>
        <w:tc>
          <w:tcPr>
            <w:tcW w:w="2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61,023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161,101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4,398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88,103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10,828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loans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20,990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Shareholder loans, at amortized cost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248,643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66,404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13,079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89,224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95,913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13,715</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479,398</w:t>
            </w:r>
          </w:p>
        </w:tc>
        <w:tc>
          <w:tcPr>
            <w:tcW w:w="2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309,851</w:t>
            </w:r>
          </w:p>
        </w:tc>
        <w:tc>
          <w:tcPr>
            <w:tcW w:w="2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44,307</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12,223</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4,042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16,265</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13,468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495,663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323,319</w:t>
            </w:r>
          </w:p>
        </w:tc>
        <w:tc>
          <w:tcPr>
            <w:tcW w:w="2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46,233</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Redeemable Convertible Preferred Shares (US$0.00001 par value: 387,781,378 shares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as at December 31, 2024 and December 31, 2025, Redemption value of RMB56,098</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nil as of December 31, 2024 and 2025, respectively)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56,098</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B Redeemable Convertible Preferred Shares (US$0.00001 par value: 703,901,412 shares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as at December 31, 2024 and December 31, 2025, Redemption value of RMB787,739</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nil as of December 31, 2024 and 2025, respectively)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787,739</w:t>
            </w:r>
          </w:p>
        </w:tc>
        <w:tc>
          <w:tcPr>
            <w:tcW w:w="15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C Redeemable Convertible Preferred Shares (US$0.00001 par value: 517,022,352 shares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as at December 31, 2024 and December 31, 2025, Redemption value of RMB181,992</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nil as of December 31, 2024 and 2025, respectively)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181,992</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C-1 Redeemable Convertible Preferred Shares (US$0.00001 par value: 357,323,044 shares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as at December 31, 2024 and December 31, 2025, Redemption value of RMB153,660</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nil as of December 31, 2024 and 2025, respectively)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153,660</w:t>
            </w:r>
          </w:p>
        </w:tc>
        <w:tc>
          <w:tcPr>
            <w:tcW w:w="15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C-2 Redeemable Convertible Preferred Shares (US$0.00001 par value: 220,757,061 shares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as at December 31, 2024 and December 31, 2025, Redemption value of RMB189,973</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nil as of December 31, 2024 and 2025, respectively)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189,873</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D Redeemable Convertible Preferred Shares (US$0.00001 par value: 95,320,147 shares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as at December 31, 2024 and December 31, 2025, Redemption value of RMB136,115</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nil as of December 31, 2024 and 2025, respectively)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136,115</w:t>
            </w:r>
          </w:p>
        </w:tc>
        <w:tc>
          <w:tcPr>
            <w:tcW w:w="15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receivable from Series B Redeemable Convertible Preferred Shares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(134,455)</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receivable from Series C Redeemable Convertible Preferred Shares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(29,026)</w:t>
            </w:r>
          </w:p>
        </w:tc>
        <w:tc>
          <w:tcPr>
            <w:tcW w:w="15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receivable from Series C-1 Redeemable Convertible Preferred Shares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(38,955)</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1,303,041</w:t>
            </w:r>
          </w:p>
        </w:tc>
        <w:tc>
          <w:tcPr>
            <w:tcW w:w="240" w:type="dxa"/>
            <w:vAlign w:val="bottom"/>
            <w:shd w:val="clear" w:color="auto" w:fill="CCEEFF"/>
          </w:tcPr>
          <w:p>
            <w:pPr>
              <w:spacing w:after="0"/>
              <w:rPr>
                <w:sz w:val="21"/>
                <w:szCs w:val="21"/>
                <w:color w:val="auto"/>
              </w:rPr>
            </w:pPr>
          </w:p>
        </w:tc>
        <w:tc>
          <w:tcPr>
            <w:tcW w:w="15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ind w:left="5500"/>
              <w:spacing w:after="0"/>
              <w:rPr>
                <w:sz w:val="20"/>
                <w:szCs w:val="20"/>
                <w:color w:val="auto"/>
              </w:rPr>
            </w:pPr>
            <w:r>
              <w:rPr>
                <w:rFonts w:ascii="Times New Roman" w:cs="Times New Roman" w:eastAsia="Times New Roman" w:hAnsi="Times New Roman"/>
                <w:sz w:val="18"/>
                <w:szCs w:val="18"/>
                <w:color w:val="auto"/>
              </w:rPr>
              <w:t>F-3</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757"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5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20"/>
                <w:szCs w:val="20"/>
                <w:color w:val="auto"/>
              </w:rPr>
            </w:pPr>
          </w:p>
        </w:tc>
        <w:tc>
          <w:tcPr>
            <w:tcW w:w="15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(US$0.00001 par value, 16,000,000,000 shares authorized, 460,147,059</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2,516,653,606  shares  issued  and  outstanding  as  of  December  31,  2024  and  2025,</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w:t>
            </w: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(US$0.00001  par  value,  800,000,000  shares  authorized,  nil  and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342,773,160 shares issued and outstanding as of December 31, 2024 and 2025, respectively)*</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 in capital</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47,006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1,668,465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238,588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(99,395)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(97,912)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(14,001)</w:t>
            </w: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(1,715,536)</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(1,762,180)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(251,988)</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deficit attributable to ordinary shareholders of Yimutian Inc.</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(1,767,894)</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(191,426)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(27,372)</w:t>
            </w:r>
          </w:p>
        </w:tc>
        <w:tc>
          <w:tcPr>
            <w:tcW w:w="100" w:type="dxa"/>
            <w:vAlign w:val="bottom"/>
            <w:tcBorders>
              <w:top w:val="single" w:sz="8" w:color="CCEEFF"/>
            </w:tcBorders>
          </w:tcPr>
          <w:p>
            <w:pPr>
              <w:spacing w:after="0"/>
              <w:rPr>
                <w:sz w:val="17"/>
                <w:szCs w:val="17"/>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30,213</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29,208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4,177</w:t>
            </w:r>
          </w:p>
        </w:tc>
      </w:tr>
      <w:tr>
        <w:trPr>
          <w:trHeight w:val="278"/>
        </w:trPr>
        <w:tc>
          <w:tcPr>
            <w:tcW w:w="73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(1,737,681</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(162,218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(23,195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3"/>
        </w:trPr>
        <w:tc>
          <w:tcPr>
            <w:tcW w:w="732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Total liabilities, mezzanine equity and shareholders’ deficit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61,023</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161,101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23,038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2025, the Company amended its memorandum and articles of association to increase the authorized share capital to 20,000,000,000 shares, comprising 16,000,000,000 Class A ordinary shares and 800,000,000 Class B ordinary shares, with the remaining 3,200,000,000 shares to be designated by the Board of Directors, with a par value of US$0.00001 each.</w:t>
      </w:r>
    </w:p>
    <w:p>
      <w:pPr>
        <w:spacing w:after="0" w:line="17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19, 2025, the Company completed its initial public offering (IPO) and was listed on Nasdaq, all preferred shares were converted into Class A ordinary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0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9"/>
                <w:szCs w:val="19"/>
                <w:color w:val="auto"/>
              </w:rPr>
            </w:pPr>
          </w:p>
        </w:tc>
        <w:tc>
          <w:tcPr>
            <w:tcW w:w="208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187,523</w:t>
            </w:r>
          </w:p>
        </w:tc>
        <w:tc>
          <w:tcPr>
            <w:tcW w:w="2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161,321</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140,655</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(49,248)</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(30,573)</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(21,604)</w:t>
            </w: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138,275</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130,748</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119,051</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17,024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(94,647)</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(87,618)</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(77,459)</w:t>
            </w: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(11,076)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(96,712)</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(39,564)</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(58,764)</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(8,403)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(47,453)</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(37,811)</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(29,596)</w:t>
            </w: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823</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4,988</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(99,714)</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(34,027)</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(41,780)</w:t>
            </w: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(5,974)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(964)</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(5,606)</w:t>
            </w: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financial liabilities</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(3,728)</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from derecognition of financial liabilities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(1,953)</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 and share of loss of equity</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(105,583)</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(34,979)</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(47,377)</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(6,775)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income of equity method investments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20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(105,621)</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(34,941)</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(47,377)</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(6,775)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733</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Yimutian Inc</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(105,610)</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(34,900)</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(46,644)</w:t>
            </w: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(6,670)</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Deemed  dividend  to  Series  C  Redeemable  Convertible</w:t>
            </w: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Shareholders</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(2,872)</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Deemed  dividend  to  Series  D  Redeemable  Convertible</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Shareholders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(915)</w:t>
            </w:r>
          </w:p>
        </w:tc>
        <w:tc>
          <w:tcPr>
            <w:tcW w:w="1540" w:type="dxa"/>
            <w:vAlign w:val="bottom"/>
            <w:gridSpan w:val="2"/>
            <w:vMerge w:val="continue"/>
          </w:tcPr>
          <w:p>
            <w:pPr>
              <w:spacing w:after="0"/>
              <w:rPr>
                <w:sz w:val="20"/>
                <w:szCs w:val="20"/>
                <w:color w:val="auto"/>
              </w:rPr>
            </w:pPr>
          </w:p>
        </w:tc>
        <w:tc>
          <w:tcPr>
            <w:tcW w:w="20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of  redeemable  convertible  preferred  shares  to</w:t>
            </w: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value</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(71,735)</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(88,277)</w:t>
            </w:r>
          </w:p>
        </w:tc>
        <w:tc>
          <w:tcPr>
            <w:tcW w:w="20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46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attributable to ordinary shareholders of Yimutian</w:t>
            </w: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(181,132)</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(123,177)</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(46,644)</w:t>
            </w:r>
          </w:p>
        </w:tc>
        <w:tc>
          <w:tcPr>
            <w:tcW w:w="30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(6,670)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(105,621)</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(34,941)</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(47,377)</w:t>
            </w:r>
          </w:p>
        </w:tc>
        <w:tc>
          <w:tcPr>
            <w:tcW w:w="3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(6,775)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changes of financial liabilities due to instrument-</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specific credit risk, net of nil income taxes</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781</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gain on financial liabilities in</w:t>
            </w: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net of nil income taxes</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1,953</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 adjustment for parent company,</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of nil income taxes</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(24,300)</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1,483</w:t>
            </w:r>
          </w:p>
        </w:tc>
        <w:tc>
          <w:tcPr>
            <w:tcW w:w="3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(127,187)</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(35,373)</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(45,894)</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(6,563)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ordinary share</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Basic and diluted</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(0.45)</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outstanding used</w:t>
            </w: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computing net loss per ordinary share</w:t>
            </w:r>
          </w:p>
        </w:tc>
        <w:tc>
          <w:tcPr>
            <w:tcW w:w="1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Basic and diluted</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400,206,197</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460,147,059</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1,340,668,787</w:t>
            </w:r>
          </w:p>
        </w:tc>
        <w:tc>
          <w:tcPr>
            <w:tcW w:w="3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1,340,668,787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5"/>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4"/>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6"/>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40" w:type="dxa"/>
            <w:vAlign w:val="bottom"/>
            <w:gridSpan w:val="2"/>
            <w:vMerge w:val="restart"/>
          </w:tcPr>
          <w:p>
            <w:pPr>
              <w:spacing w:after="0"/>
              <w:rPr>
                <w:sz w:val="12"/>
                <w:szCs w:val="12"/>
                <w:color w:val="auto"/>
              </w:rPr>
            </w:pPr>
          </w:p>
        </w:tc>
        <w:tc>
          <w:tcPr>
            <w:tcW w:w="9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5"/>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2"/>
                <w:szCs w:val="12"/>
                <w:color w:val="auto"/>
              </w:rPr>
            </w:pPr>
          </w:p>
        </w:tc>
        <w:tc>
          <w:tcPr>
            <w:tcW w:w="920" w:type="dxa"/>
            <w:vAlign w:val="bottom"/>
            <w:gridSpan w:val="3"/>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7"/>
        </w:trPr>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5"/>
          </w:tcPr>
          <w:p>
            <w:pPr>
              <w:jc w:val="center"/>
              <w:ind w:right="48"/>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5"/>
          </w:tcPr>
          <w:p>
            <w:pPr>
              <w:jc w:val="center"/>
              <w:ind w:right="179"/>
              <w:spacing w:after="0" w:line="160" w:lineRule="exact"/>
              <w:rPr>
                <w:sz w:val="20"/>
                <w:szCs w:val="20"/>
                <w:color w:val="auto"/>
              </w:rPr>
            </w:pPr>
            <w:r>
              <w:rPr>
                <w:rFonts w:ascii="Times New Roman" w:cs="Times New Roman" w:eastAsia="Times New Roman" w:hAnsi="Times New Roman"/>
                <w:sz w:val="14"/>
                <w:szCs w:val="14"/>
                <w:b w:val="1"/>
                <w:bCs w:val="1"/>
                <w:color w:val="auto"/>
              </w:rPr>
              <w:t>deficit to</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gridSpan w:val="4"/>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800" w:type="dxa"/>
            <w:vAlign w:val="bottom"/>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4"/>
                <w:szCs w:val="14"/>
                <w:color w:val="auto"/>
              </w:rPr>
            </w:pPr>
          </w:p>
        </w:tc>
        <w:tc>
          <w:tcPr>
            <w:tcW w:w="1100" w:type="dxa"/>
            <w:vAlign w:val="bottom"/>
            <w:gridSpan w:val="5"/>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5"/>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10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000" w:type="dxa"/>
            <w:vAlign w:val="bottom"/>
            <w:gridSpan w:val="4"/>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5"/>
          </w:tcPr>
          <w:p>
            <w:pPr>
              <w:jc w:val="center"/>
              <w:ind w:right="540"/>
              <w:spacing w:after="0" w:line="176" w:lineRule="exact"/>
              <w:rPr>
                <w:sz w:val="20"/>
                <w:szCs w:val="20"/>
                <w:color w:val="auto"/>
              </w:rPr>
            </w:pP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20"/>
                <w:szCs w:val="20"/>
                <w:b w:val="1"/>
                <w:bCs w:val="1"/>
                <w:color w:val="auto"/>
                <w:vertAlign w:val="superscript"/>
              </w:rPr>
              <w:t>(1)</w:t>
            </w:r>
          </w:p>
        </w:tc>
        <w:tc>
          <w:tcPr>
            <w:tcW w:w="96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60" w:type="dxa"/>
            <w:vAlign w:val="bottom"/>
          </w:tcPr>
          <w:p>
            <w:pPr>
              <w:spacing w:after="0"/>
              <w:rPr>
                <w:sz w:val="15"/>
                <w:szCs w:val="15"/>
                <w:color w:val="auto"/>
              </w:rPr>
            </w:pPr>
          </w:p>
        </w:tc>
        <w:tc>
          <w:tcPr>
            <w:tcW w:w="1020" w:type="dxa"/>
            <w:vAlign w:val="bottom"/>
            <w:gridSpan w:val="5"/>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1100" w:type="dxa"/>
            <w:vAlign w:val="bottom"/>
            <w:gridSpan w:val="5"/>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20" w:type="dxa"/>
            <w:vAlign w:val="bottom"/>
            <w:gridSpan w:val="5"/>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60" w:type="dxa"/>
            <w:vAlign w:val="bottom"/>
          </w:tcPr>
          <w:p>
            <w:pPr>
              <w:spacing w:after="0"/>
              <w:rPr>
                <w:sz w:val="15"/>
                <w:szCs w:val="15"/>
                <w:color w:val="auto"/>
              </w:rPr>
            </w:pPr>
          </w:p>
        </w:tc>
        <w:tc>
          <w:tcPr>
            <w:tcW w:w="9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5"/>
                <w:szCs w:val="15"/>
                <w:color w:val="auto"/>
              </w:rPr>
            </w:pPr>
          </w:p>
        </w:tc>
        <w:tc>
          <w:tcPr>
            <w:tcW w:w="920" w:type="dxa"/>
            <w:vAlign w:val="bottom"/>
            <w:gridSpan w:val="3"/>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56"/>
        </w:trPr>
        <w:tc>
          <w:tcPr>
            <w:tcW w:w="23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3"/>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January 1, 2023</w:t>
            </w:r>
          </w:p>
        </w:tc>
        <w:tc>
          <w:tcPr>
            <w:tcW w:w="1060" w:type="dxa"/>
            <w:vAlign w:val="bottom"/>
            <w:gridSpan w:val="3"/>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396,547,016</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7"/>
              </w:rPr>
              <w:t>(77,397)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(1,411,227)</w:t>
            </w:r>
          </w:p>
        </w:tc>
        <w:tc>
          <w:tcPr>
            <w:tcW w:w="200" w:type="dxa"/>
            <w:vAlign w:val="bottom"/>
            <w:shd w:val="clear" w:color="auto" w:fill="CCEEFF"/>
          </w:tcPr>
          <w:p>
            <w:pPr>
              <w:spacing w:after="0"/>
              <w:rPr>
                <w:sz w:val="12"/>
                <w:szCs w:val="12"/>
                <w:color w:val="auto"/>
              </w:rPr>
            </w:pPr>
          </w:p>
        </w:tc>
        <w:tc>
          <w:tcPr>
            <w:tcW w:w="900" w:type="dxa"/>
            <w:vAlign w:val="bottom"/>
            <w:tcBorders>
              <w:left w:val="single" w:sz="8" w:color="CCEEFF"/>
            </w:tcBorders>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(1,488,597)</w:t>
            </w:r>
          </w:p>
        </w:tc>
        <w:tc>
          <w:tcPr>
            <w:tcW w:w="22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(1,488,332)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Pr>
          <w:p>
            <w:pPr>
              <w:spacing w:after="0"/>
              <w:rPr>
                <w:sz w:val="12"/>
                <w:szCs w:val="12"/>
                <w:color w:val="auto"/>
              </w:rPr>
            </w:pPr>
          </w:p>
        </w:tc>
        <w:tc>
          <w:tcPr>
            <w:tcW w:w="960" w:type="dxa"/>
            <w:vAlign w:val="bottom"/>
            <w:gridSpan w:val="4"/>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6"/>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(105,610)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(105,610)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100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(105,621)</w:t>
            </w:r>
          </w:p>
        </w:tc>
        <w:tc>
          <w:tcPr>
            <w:tcW w:w="0" w:type="dxa"/>
            <w:vAlign w:val="bottom"/>
          </w:tcPr>
          <w:p>
            <w:pPr>
              <w:spacing w:after="0"/>
              <w:rPr>
                <w:sz w:val="1"/>
                <w:szCs w:val="1"/>
                <w:color w:val="auto"/>
              </w:rPr>
            </w:pPr>
          </w:p>
        </w:tc>
      </w:tr>
      <w:tr>
        <w:trPr>
          <w:trHeight w:val="149"/>
        </w:trPr>
        <w:tc>
          <w:tcPr>
            <w:tcW w:w="2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ordinary shares</w:t>
            </w:r>
          </w:p>
        </w:tc>
        <w:tc>
          <w:tcPr>
            <w:tcW w:w="1060" w:type="dxa"/>
            <w:vAlign w:val="bottom"/>
            <w:gridSpan w:val="3"/>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63,600,043</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12"/>
                <w:szCs w:val="12"/>
                <w:color w:val="auto"/>
              </w:rPr>
            </w:pPr>
          </w:p>
        </w:tc>
        <w:tc>
          <w:tcPr>
            <w:tcW w:w="94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51,432</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51,436</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51,436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Deemed dividend to Series C-2</w:t>
            </w: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Redeemable Convertible Preferred</w:t>
            </w:r>
          </w:p>
        </w:tc>
        <w:tc>
          <w:tcPr>
            <w:tcW w:w="300" w:type="dxa"/>
            <w:vAlign w:val="bottom"/>
          </w:tcPr>
          <w:p>
            <w:pPr>
              <w:spacing w:after="0"/>
              <w:rPr>
                <w:sz w:val="12"/>
                <w:szCs w:val="12"/>
                <w:color w:val="auto"/>
              </w:rPr>
            </w:pPr>
          </w:p>
        </w:tc>
        <w:tc>
          <w:tcPr>
            <w:tcW w:w="96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(2,872)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(2,872)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(2,872)</w:t>
            </w:r>
          </w:p>
        </w:tc>
        <w:tc>
          <w:tcPr>
            <w:tcW w:w="0" w:type="dxa"/>
            <w:vAlign w:val="bottom"/>
          </w:tcPr>
          <w:p>
            <w:pPr>
              <w:spacing w:after="0"/>
              <w:rPr>
                <w:sz w:val="1"/>
                <w:szCs w:val="1"/>
                <w:color w:val="auto"/>
              </w:rPr>
            </w:pPr>
          </w:p>
        </w:tc>
      </w:tr>
      <w:tr>
        <w:trPr>
          <w:trHeight w:val="171"/>
        </w:trPr>
        <w:tc>
          <w:tcPr>
            <w:tcW w:w="24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Shareholder</w:t>
            </w:r>
          </w:p>
        </w:tc>
        <w:tc>
          <w:tcPr>
            <w:tcW w:w="30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Deemed dividend to Series D</w:t>
            </w:r>
          </w:p>
        </w:tc>
        <w:tc>
          <w:tcPr>
            <w:tcW w:w="3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Redeemable Convertible Preferred</w:t>
            </w:r>
          </w:p>
        </w:tc>
        <w:tc>
          <w:tcPr>
            <w:tcW w:w="300" w:type="dxa"/>
            <w:vAlign w:val="bottom"/>
            <w:shd w:val="clear" w:color="auto" w:fill="CCEEFF"/>
          </w:tcPr>
          <w:p>
            <w:pPr>
              <w:spacing w:after="0"/>
              <w:rPr>
                <w:sz w:val="12"/>
                <w:szCs w:val="12"/>
                <w:color w:val="auto"/>
              </w:rPr>
            </w:pPr>
          </w:p>
        </w:tc>
        <w:tc>
          <w:tcPr>
            <w:tcW w:w="960" w:type="dxa"/>
            <w:vAlign w:val="bottom"/>
            <w:gridSpan w:val="4"/>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(915)</w:t>
            </w:r>
          </w:p>
        </w:tc>
        <w:tc>
          <w:tcPr>
            <w:tcW w:w="2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(915)</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171"/>
        </w:trPr>
        <w:tc>
          <w:tcPr>
            <w:tcW w:w="2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Shareholder</w:t>
            </w:r>
          </w:p>
        </w:tc>
        <w:tc>
          <w:tcPr>
            <w:tcW w:w="300" w:type="dxa"/>
            <w:vAlign w:val="bottom"/>
            <w:shd w:val="clear" w:color="auto" w:fill="CCEEFF"/>
          </w:tcPr>
          <w:p>
            <w:pPr>
              <w:spacing w:after="0"/>
              <w:rPr>
                <w:sz w:val="14"/>
                <w:szCs w:val="14"/>
                <w:color w:val="auto"/>
              </w:rPr>
            </w:pPr>
          </w:p>
        </w:tc>
        <w:tc>
          <w:tcPr>
            <w:tcW w:w="960" w:type="dxa"/>
            <w:vAlign w:val="bottom"/>
            <w:gridSpan w:val="4"/>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2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1000" w:type="dxa"/>
            <w:vAlign w:val="bottom"/>
            <w:gridSpan w:val="4"/>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Accretion of redeemable convertible</w:t>
            </w:r>
          </w:p>
        </w:tc>
        <w:tc>
          <w:tcPr>
            <w:tcW w:w="300" w:type="dxa"/>
            <w:vAlign w:val="bottom"/>
          </w:tcPr>
          <w:p>
            <w:pPr>
              <w:spacing w:after="0"/>
              <w:rPr>
                <w:sz w:val="10"/>
                <w:szCs w:val="10"/>
                <w:color w:val="auto"/>
              </w:rPr>
            </w:pPr>
          </w:p>
        </w:tc>
        <w:tc>
          <w:tcPr>
            <w:tcW w:w="96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(4,426)</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3"/>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(71,735)</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(76,161)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(76,161)</w:t>
            </w:r>
          </w:p>
        </w:tc>
        <w:tc>
          <w:tcPr>
            <w:tcW w:w="0" w:type="dxa"/>
            <w:vAlign w:val="bottom"/>
          </w:tcPr>
          <w:p>
            <w:pPr>
              <w:spacing w:after="0"/>
              <w:rPr>
                <w:sz w:val="1"/>
                <w:szCs w:val="1"/>
                <w:color w:val="auto"/>
              </w:rPr>
            </w:pPr>
          </w:p>
        </w:tc>
      </w:tr>
      <w:tr>
        <w:trPr>
          <w:trHeight w:val="171"/>
        </w:trPr>
        <w:tc>
          <w:tcPr>
            <w:tcW w:w="24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preferred shares</w:t>
            </w:r>
          </w:p>
        </w:tc>
        <w:tc>
          <w:tcPr>
            <w:tcW w:w="30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changes of financial</w:t>
            </w:r>
          </w:p>
        </w:tc>
        <w:tc>
          <w:tcPr>
            <w:tcW w:w="3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liabilities due to instrument-</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specific credit risk, net of nil</w:t>
            </w:r>
          </w:p>
        </w:tc>
        <w:tc>
          <w:tcPr>
            <w:tcW w:w="300" w:type="dxa"/>
            <w:vAlign w:val="bottom"/>
            <w:shd w:val="clear" w:color="auto" w:fill="CCEEFF"/>
          </w:tcPr>
          <w:p>
            <w:pPr>
              <w:spacing w:after="0"/>
              <w:rPr>
                <w:sz w:val="12"/>
                <w:szCs w:val="12"/>
                <w:color w:val="auto"/>
              </w:rPr>
            </w:pPr>
          </w:p>
        </w:tc>
        <w:tc>
          <w:tcPr>
            <w:tcW w:w="960" w:type="dxa"/>
            <w:vAlign w:val="bottom"/>
            <w:gridSpan w:val="4"/>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3"/>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781</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w:t>
            </w:r>
          </w:p>
        </w:tc>
        <w:tc>
          <w:tcPr>
            <w:tcW w:w="300" w:type="dxa"/>
            <w:vAlign w:val="bottom"/>
            <w:shd w:val="clear" w:color="auto" w:fill="CCEEFF"/>
          </w:tcPr>
          <w:p>
            <w:pPr>
              <w:spacing w:after="0"/>
              <w:rPr>
                <w:sz w:val="14"/>
                <w:szCs w:val="14"/>
                <w:color w:val="auto"/>
              </w:rPr>
            </w:pPr>
          </w:p>
        </w:tc>
        <w:tc>
          <w:tcPr>
            <w:tcW w:w="960" w:type="dxa"/>
            <w:vAlign w:val="bottom"/>
            <w:gridSpan w:val="4"/>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2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Reclassification adjustment for gains</w:t>
            </w: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on financial liabilities in net</w:t>
            </w:r>
          </w:p>
        </w:tc>
        <w:tc>
          <w:tcPr>
            <w:tcW w:w="300" w:type="dxa"/>
            <w:vAlign w:val="bottom"/>
          </w:tcPr>
          <w:p>
            <w:pPr>
              <w:spacing w:after="0"/>
              <w:rPr>
                <w:sz w:val="12"/>
                <w:szCs w:val="12"/>
                <w:color w:val="auto"/>
              </w:rPr>
            </w:pPr>
          </w:p>
        </w:tc>
        <w:tc>
          <w:tcPr>
            <w:tcW w:w="96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1,953</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1,953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income, net of nil income taxes</w:t>
            </w:r>
          </w:p>
        </w:tc>
        <w:tc>
          <w:tcPr>
            <w:tcW w:w="30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3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 net of nil income taxes</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(24,300)</w:t>
            </w:r>
          </w:p>
        </w:tc>
        <w:tc>
          <w:tcPr>
            <w:tcW w:w="16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(24,300)</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vMerge w:val="restart"/>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gridSpan w:val="2"/>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1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gridSpan w:val="2"/>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69"/>
        </w:trPr>
        <w:tc>
          <w:tcPr>
            <w:tcW w:w="2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460,147,059</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31</w:t>
            </w:r>
          </w:p>
        </w:tc>
        <w:tc>
          <w:tcPr>
            <w:tcW w:w="20" w:type="dxa"/>
            <w:vAlign w:val="bottom"/>
          </w:tcPr>
          <w:p>
            <w:pPr>
              <w:spacing w:after="0"/>
              <w:rPr>
                <w:sz w:val="14"/>
                <w:szCs w:val="14"/>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47,006</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(98,963</w:t>
            </w:r>
          </w:p>
        </w:tc>
        <w:tc>
          <w:tcPr>
            <w:tcW w:w="1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(1,592,359</w:t>
            </w:r>
          </w:p>
        </w:tc>
        <w:tc>
          <w:tcPr>
            <w:tcW w:w="200" w:type="dxa"/>
            <w:vAlign w:val="bottom"/>
            <w:vMerge w:val="continue"/>
          </w:tcPr>
          <w:p>
            <w:pPr>
              <w:spacing w:after="0"/>
              <w:rPr>
                <w:sz w:val="14"/>
                <w:szCs w:val="1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(1,644,285</w:t>
            </w:r>
          </w:p>
        </w:tc>
        <w:tc>
          <w:tcPr>
            <w:tcW w:w="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254</w:t>
            </w:r>
          </w:p>
        </w:tc>
        <w:tc>
          <w:tcPr>
            <w:tcW w:w="1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(1,644,031</w:t>
            </w: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4"/>
                <w:szCs w:val="14"/>
                <w:b w:val="1"/>
                <w:bCs w:val="1"/>
                <w:color w:val="auto"/>
              </w:rPr>
              <w:t>Attributable to owners of the parent</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5"/>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gridSpan w:val="4"/>
          </w:tcPr>
          <w:p>
            <w:pPr>
              <w:jc w:val="center"/>
              <w:ind w:right="479"/>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6"/>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40" w:type="dxa"/>
            <w:vAlign w:val="bottom"/>
            <w:gridSpan w:val="2"/>
            <w:vMerge w:val="restart"/>
          </w:tcPr>
          <w:p>
            <w:pPr>
              <w:spacing w:after="0"/>
              <w:rPr>
                <w:sz w:val="12"/>
                <w:szCs w:val="12"/>
                <w:color w:val="auto"/>
              </w:rPr>
            </w:pPr>
          </w:p>
        </w:tc>
        <w:tc>
          <w:tcPr>
            <w:tcW w:w="9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5"/>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2"/>
                <w:szCs w:val="12"/>
                <w:color w:val="auto"/>
              </w:rPr>
            </w:pPr>
          </w:p>
        </w:tc>
        <w:tc>
          <w:tcPr>
            <w:tcW w:w="920" w:type="dxa"/>
            <w:vAlign w:val="bottom"/>
            <w:gridSpan w:val="3"/>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7"/>
        </w:trPr>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5"/>
          </w:tcPr>
          <w:p>
            <w:pPr>
              <w:jc w:val="center"/>
              <w:ind w:right="48"/>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5"/>
          </w:tcPr>
          <w:p>
            <w:pPr>
              <w:jc w:val="center"/>
              <w:ind w:right="179"/>
              <w:spacing w:after="0" w:line="160" w:lineRule="exact"/>
              <w:rPr>
                <w:sz w:val="20"/>
                <w:szCs w:val="20"/>
                <w:color w:val="auto"/>
              </w:rPr>
            </w:pPr>
            <w:r>
              <w:rPr>
                <w:rFonts w:ascii="Times New Roman" w:cs="Times New Roman" w:eastAsia="Times New Roman" w:hAnsi="Times New Roman"/>
                <w:sz w:val="14"/>
                <w:szCs w:val="14"/>
                <w:b w:val="1"/>
                <w:bCs w:val="1"/>
                <w:color w:val="auto"/>
              </w:rPr>
              <w:t>deficit to</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gridSpan w:val="4"/>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800" w:type="dxa"/>
            <w:vAlign w:val="bottom"/>
            <w:gridSpan w:val="3"/>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4"/>
                <w:szCs w:val="14"/>
                <w:color w:val="auto"/>
              </w:rPr>
            </w:pPr>
          </w:p>
        </w:tc>
        <w:tc>
          <w:tcPr>
            <w:tcW w:w="1100" w:type="dxa"/>
            <w:vAlign w:val="bottom"/>
            <w:gridSpan w:val="5"/>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5"/>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10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000" w:type="dxa"/>
            <w:vAlign w:val="bottom"/>
            <w:gridSpan w:val="4"/>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5"/>
          </w:tcPr>
          <w:p>
            <w:pPr>
              <w:jc w:val="center"/>
              <w:ind w:right="540"/>
              <w:spacing w:after="0" w:line="176" w:lineRule="exact"/>
              <w:rPr>
                <w:sz w:val="20"/>
                <w:szCs w:val="20"/>
                <w:color w:val="auto"/>
              </w:rPr>
            </w:pP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20"/>
                <w:szCs w:val="20"/>
                <w:b w:val="1"/>
                <w:bCs w:val="1"/>
                <w:color w:val="auto"/>
                <w:vertAlign w:val="superscript"/>
              </w:rPr>
              <w:t>(1)</w:t>
            </w:r>
          </w:p>
        </w:tc>
        <w:tc>
          <w:tcPr>
            <w:tcW w:w="96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60" w:type="dxa"/>
            <w:vAlign w:val="bottom"/>
          </w:tcPr>
          <w:p>
            <w:pPr>
              <w:spacing w:after="0"/>
              <w:rPr>
                <w:sz w:val="15"/>
                <w:szCs w:val="15"/>
                <w:color w:val="auto"/>
              </w:rPr>
            </w:pPr>
          </w:p>
        </w:tc>
        <w:tc>
          <w:tcPr>
            <w:tcW w:w="1020" w:type="dxa"/>
            <w:vAlign w:val="bottom"/>
            <w:gridSpan w:val="5"/>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1100" w:type="dxa"/>
            <w:vAlign w:val="bottom"/>
            <w:gridSpan w:val="5"/>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20" w:type="dxa"/>
            <w:vAlign w:val="bottom"/>
            <w:gridSpan w:val="5"/>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60" w:type="dxa"/>
            <w:vAlign w:val="bottom"/>
          </w:tcPr>
          <w:p>
            <w:pPr>
              <w:spacing w:after="0"/>
              <w:rPr>
                <w:sz w:val="15"/>
                <w:szCs w:val="15"/>
                <w:color w:val="auto"/>
              </w:rPr>
            </w:pPr>
          </w:p>
        </w:tc>
        <w:tc>
          <w:tcPr>
            <w:tcW w:w="9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5"/>
                <w:szCs w:val="15"/>
                <w:color w:val="auto"/>
              </w:rPr>
            </w:pPr>
          </w:p>
        </w:tc>
        <w:tc>
          <w:tcPr>
            <w:tcW w:w="920" w:type="dxa"/>
            <w:vAlign w:val="bottom"/>
            <w:gridSpan w:val="3"/>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55"/>
        </w:trPr>
        <w:tc>
          <w:tcPr>
            <w:tcW w:w="23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3"/>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January 1, 2024</w:t>
            </w:r>
          </w:p>
        </w:tc>
        <w:tc>
          <w:tcPr>
            <w:tcW w:w="1060" w:type="dxa"/>
            <w:vAlign w:val="bottom"/>
            <w:gridSpan w:val="3"/>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460,147,059</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47,006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7"/>
              </w:rPr>
              <w:t>(98,963)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(1,592,359)</w:t>
            </w:r>
          </w:p>
        </w:tc>
        <w:tc>
          <w:tcPr>
            <w:tcW w:w="200" w:type="dxa"/>
            <w:vAlign w:val="bottom"/>
            <w:shd w:val="clear" w:color="auto" w:fill="CCEEFF"/>
          </w:tcPr>
          <w:p>
            <w:pPr>
              <w:spacing w:after="0"/>
              <w:rPr>
                <w:sz w:val="12"/>
                <w:szCs w:val="12"/>
                <w:color w:val="auto"/>
              </w:rPr>
            </w:pPr>
          </w:p>
        </w:tc>
        <w:tc>
          <w:tcPr>
            <w:tcW w:w="900" w:type="dxa"/>
            <w:vAlign w:val="bottom"/>
            <w:tcBorders>
              <w:left w:val="single" w:sz="8" w:color="CCEEFF"/>
            </w:tcBorders>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(1,644,285)</w:t>
            </w:r>
          </w:p>
        </w:tc>
        <w:tc>
          <w:tcPr>
            <w:tcW w:w="22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(1,644,031)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Pr>
          <w:p>
            <w:pPr>
              <w:spacing w:after="0"/>
              <w:rPr>
                <w:sz w:val="12"/>
                <w:szCs w:val="12"/>
                <w:color w:val="auto"/>
              </w:rPr>
            </w:pPr>
          </w:p>
        </w:tc>
        <w:tc>
          <w:tcPr>
            <w:tcW w:w="960" w:type="dxa"/>
            <w:vAlign w:val="bottom"/>
            <w:gridSpan w:val="4"/>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(34,900)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(34,900)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2"/>
                <w:szCs w:val="12"/>
                <w:color w:val="auto"/>
              </w:rPr>
            </w:pPr>
          </w:p>
        </w:tc>
        <w:tc>
          <w:tcPr>
            <w:tcW w:w="100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(34,941)</w:t>
            </w:r>
          </w:p>
        </w:tc>
        <w:tc>
          <w:tcPr>
            <w:tcW w:w="0" w:type="dxa"/>
            <w:vAlign w:val="bottom"/>
          </w:tcPr>
          <w:p>
            <w:pPr>
              <w:spacing w:after="0"/>
              <w:rPr>
                <w:sz w:val="1"/>
                <w:szCs w:val="1"/>
                <w:color w:val="auto"/>
              </w:rPr>
            </w:pPr>
          </w:p>
        </w:tc>
      </w:tr>
      <w:tr>
        <w:trPr>
          <w:trHeight w:val="126"/>
        </w:trPr>
        <w:tc>
          <w:tcPr>
            <w:tcW w:w="24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Capital contribution from non-</w:t>
            </w:r>
          </w:p>
        </w:tc>
        <w:tc>
          <w:tcPr>
            <w:tcW w:w="300" w:type="dxa"/>
            <w:vAlign w:val="bottom"/>
            <w:shd w:val="clear" w:color="auto" w:fill="CCEEFF"/>
          </w:tcPr>
          <w:p>
            <w:pPr>
              <w:spacing w:after="0"/>
              <w:rPr>
                <w:sz w:val="10"/>
                <w:szCs w:val="10"/>
                <w:color w:val="auto"/>
              </w:rPr>
            </w:pPr>
          </w:p>
        </w:tc>
        <w:tc>
          <w:tcPr>
            <w:tcW w:w="960" w:type="dxa"/>
            <w:vAlign w:val="bottom"/>
            <w:gridSpan w:val="4"/>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4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shd w:val="clear" w:color="auto" w:fill="CCEEFF"/>
          </w:tcPr>
          <w:p>
            <w:pPr>
              <w:spacing w:after="0"/>
              <w:rPr>
                <w:sz w:val="10"/>
                <w:szCs w:val="10"/>
                <w:color w:val="auto"/>
              </w:rPr>
            </w:pP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controlling interest</w:t>
            </w:r>
          </w:p>
        </w:tc>
        <w:tc>
          <w:tcPr>
            <w:tcW w:w="300" w:type="dxa"/>
            <w:vAlign w:val="bottom"/>
            <w:shd w:val="clear" w:color="auto" w:fill="CCEEFF"/>
          </w:tcPr>
          <w:p>
            <w:pPr>
              <w:spacing w:after="0"/>
              <w:rPr>
                <w:sz w:val="14"/>
                <w:szCs w:val="14"/>
                <w:color w:val="auto"/>
              </w:rPr>
            </w:pPr>
          </w:p>
        </w:tc>
        <w:tc>
          <w:tcPr>
            <w:tcW w:w="960" w:type="dxa"/>
            <w:vAlign w:val="bottom"/>
            <w:gridSpan w:val="4"/>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2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Accretion of redeemable convertible</w:t>
            </w:r>
          </w:p>
        </w:tc>
        <w:tc>
          <w:tcPr>
            <w:tcW w:w="300" w:type="dxa"/>
            <w:vAlign w:val="bottom"/>
          </w:tcPr>
          <w:p>
            <w:pPr>
              <w:spacing w:after="0"/>
              <w:rPr>
                <w:sz w:val="10"/>
                <w:szCs w:val="10"/>
                <w:color w:val="auto"/>
              </w:rPr>
            </w:pPr>
          </w:p>
        </w:tc>
        <w:tc>
          <w:tcPr>
            <w:tcW w:w="96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3"/>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(88,277)</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(88,277)</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(88,277)</w:t>
            </w:r>
          </w:p>
        </w:tc>
        <w:tc>
          <w:tcPr>
            <w:tcW w:w="0" w:type="dxa"/>
            <w:vAlign w:val="bottom"/>
          </w:tcPr>
          <w:p>
            <w:pPr>
              <w:spacing w:after="0"/>
              <w:rPr>
                <w:sz w:val="1"/>
                <w:szCs w:val="1"/>
                <w:color w:val="auto"/>
              </w:rPr>
            </w:pPr>
          </w:p>
        </w:tc>
      </w:tr>
      <w:tr>
        <w:trPr>
          <w:trHeight w:val="171"/>
        </w:trPr>
        <w:tc>
          <w:tcPr>
            <w:tcW w:w="24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preferred shares</w:t>
            </w:r>
          </w:p>
        </w:tc>
        <w:tc>
          <w:tcPr>
            <w:tcW w:w="30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3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 net of nil income taxes</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(432)</w:t>
            </w:r>
          </w:p>
        </w:tc>
        <w:tc>
          <w:tcPr>
            <w:tcW w:w="16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vMerge w:val="restart"/>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gridSpan w:val="2"/>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1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gridSpan w:val="2"/>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70"/>
        </w:trPr>
        <w:tc>
          <w:tcPr>
            <w:tcW w:w="2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460,147,059</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31</w:t>
            </w:r>
          </w:p>
        </w:tc>
        <w:tc>
          <w:tcPr>
            <w:tcW w:w="20" w:type="dxa"/>
            <w:vAlign w:val="bottom"/>
          </w:tcPr>
          <w:p>
            <w:pPr>
              <w:spacing w:after="0"/>
              <w:rPr>
                <w:sz w:val="14"/>
                <w:szCs w:val="14"/>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47,006</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(99,395</w:t>
            </w:r>
          </w:p>
        </w:tc>
        <w:tc>
          <w:tcPr>
            <w:tcW w:w="1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(1,715,536</w:t>
            </w:r>
          </w:p>
        </w:tc>
        <w:tc>
          <w:tcPr>
            <w:tcW w:w="200" w:type="dxa"/>
            <w:vAlign w:val="bottom"/>
            <w:vMerge w:val="continue"/>
          </w:tcPr>
          <w:p>
            <w:pPr>
              <w:spacing w:after="0"/>
              <w:rPr>
                <w:sz w:val="14"/>
                <w:szCs w:val="14"/>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(1,767,894</w:t>
            </w:r>
          </w:p>
        </w:tc>
        <w:tc>
          <w:tcPr>
            <w:tcW w:w="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30,213</w:t>
            </w:r>
          </w:p>
        </w:tc>
        <w:tc>
          <w:tcPr>
            <w:tcW w:w="1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(1,737,681</w:t>
            </w: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5"/>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Attributable to owners of the parent</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5"/>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left="28"/>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gridSpan w:val="7"/>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9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5"/>
          </w:tcPr>
          <w:p>
            <w:pPr>
              <w:jc w:val="right"/>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2"/>
                <w:szCs w:val="12"/>
                <w:color w:val="auto"/>
              </w:rPr>
            </w:pPr>
          </w:p>
        </w:tc>
        <w:tc>
          <w:tcPr>
            <w:tcW w:w="7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2"/>
                <w:szCs w:val="12"/>
                <w:color w:val="auto"/>
              </w:rPr>
            </w:pPr>
          </w:p>
        </w:tc>
        <w:tc>
          <w:tcPr>
            <w:tcW w:w="920" w:type="dxa"/>
            <w:vAlign w:val="bottom"/>
            <w:gridSpan w:val="3"/>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7"/>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7"/>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5"/>
          </w:tcPr>
          <w:p>
            <w:pPr>
              <w:ind w:left="30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left="48"/>
              <w:spacing w:after="0" w:line="160" w:lineRule="exact"/>
              <w:rPr>
                <w:sz w:val="20"/>
                <w:szCs w:val="20"/>
                <w:color w:val="auto"/>
              </w:rPr>
            </w:pPr>
            <w:r>
              <w:rPr>
                <w:rFonts w:ascii="Times New Roman" w:cs="Times New Roman" w:eastAsia="Times New Roman" w:hAnsi="Times New Roman"/>
                <w:sz w:val="14"/>
                <w:szCs w:val="14"/>
                <w:b w:val="1"/>
                <w:bCs w:val="1"/>
                <w:color w:val="auto"/>
              </w:rPr>
              <w:t>deficit to</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gridSpan w:val="4"/>
          </w:tcPr>
          <w:p>
            <w:pPr>
              <w:jc w:val="right"/>
              <w:ind w:right="180"/>
              <w:spacing w:after="0" w:line="12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0"/>
                <w:szCs w:val="10"/>
                <w:color w:val="auto"/>
              </w:rPr>
            </w:pPr>
          </w:p>
        </w:tc>
        <w:tc>
          <w:tcPr>
            <w:tcW w:w="840" w:type="dxa"/>
            <w:vAlign w:val="bottom"/>
            <w:gridSpan w:val="3"/>
          </w:tcPr>
          <w:p>
            <w:pPr>
              <w:jc w:val="center"/>
              <w:ind w:right="20"/>
              <w:spacing w:after="0" w:line="12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0"/>
                <w:szCs w:val="10"/>
                <w:color w:val="auto"/>
              </w:rPr>
            </w:pPr>
          </w:p>
        </w:tc>
        <w:tc>
          <w:tcPr>
            <w:tcW w:w="80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0"/>
                <w:szCs w:val="10"/>
                <w:color w:val="auto"/>
              </w:rPr>
            </w:pPr>
          </w:p>
        </w:tc>
        <w:tc>
          <w:tcPr>
            <w:tcW w:w="960" w:type="dxa"/>
            <w:vAlign w:val="bottom"/>
            <w:gridSpan w:val="5"/>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0"/>
                <w:szCs w:val="10"/>
                <w:color w:val="auto"/>
              </w:rPr>
            </w:pPr>
          </w:p>
        </w:tc>
        <w:tc>
          <w:tcPr>
            <w:tcW w:w="900" w:type="dxa"/>
            <w:vAlign w:val="bottom"/>
            <w:gridSpan w:val="4"/>
          </w:tcPr>
          <w:p>
            <w:pPr>
              <w:jc w:val="center"/>
              <w:ind w:right="18"/>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660" w:type="dxa"/>
            <w:vAlign w:val="bottom"/>
            <w:gridSpan w:val="2"/>
          </w:tcPr>
          <w:p>
            <w:pPr>
              <w:jc w:val="center"/>
              <w:ind w:left="48"/>
              <w:spacing w:after="0" w:line="124"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0"/>
                <w:szCs w:val="10"/>
                <w:color w:val="auto"/>
              </w:rPr>
            </w:pPr>
          </w:p>
        </w:tc>
        <w:tc>
          <w:tcPr>
            <w:tcW w:w="920" w:type="dxa"/>
            <w:vAlign w:val="bottom"/>
            <w:gridSpan w:val="3"/>
          </w:tcPr>
          <w:p>
            <w:pPr>
              <w:jc w:val="center"/>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6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900" w:type="dxa"/>
            <w:vAlign w:val="bottom"/>
            <w:gridSpan w:val="4"/>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900" w:type="dxa"/>
            <w:vAlign w:val="bottom"/>
            <w:gridSpan w:val="4"/>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5"/>
                <w:szCs w:val="15"/>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interests</w:t>
            </w:r>
          </w:p>
        </w:tc>
        <w:tc>
          <w:tcPr>
            <w:tcW w:w="80" w:type="dxa"/>
            <w:vAlign w:val="bottom"/>
          </w:tcPr>
          <w:p>
            <w:pPr>
              <w:spacing w:after="0"/>
              <w:rPr>
                <w:sz w:val="15"/>
                <w:szCs w:val="15"/>
                <w:color w:val="auto"/>
              </w:rPr>
            </w:pPr>
          </w:p>
        </w:tc>
        <w:tc>
          <w:tcPr>
            <w:tcW w:w="920" w:type="dxa"/>
            <w:vAlign w:val="bottom"/>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55"/>
        </w:trPr>
        <w:tc>
          <w:tcPr>
            <w:tcW w:w="23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gridSpan w:val="2"/>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gridSpan w:val="4"/>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January 1, 2025</w:t>
            </w:r>
          </w:p>
        </w:tc>
        <w:tc>
          <w:tcPr>
            <w:tcW w:w="1260" w:type="dxa"/>
            <w:vAlign w:val="bottom"/>
            <w:gridSpan w:val="5"/>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460,147,059</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2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47,006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(99,395)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(1,715,536)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(1,767,894)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30,213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(1,737,681)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3"/>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color w:val="auto"/>
              </w:rPr>
              <w:t>(46,644)</w:t>
            </w:r>
          </w:p>
        </w:tc>
        <w:tc>
          <w:tcPr>
            <w:tcW w:w="100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color w:val="auto"/>
              </w:rPr>
              <w:t>(46,644)</w:t>
            </w:r>
          </w:p>
        </w:tc>
        <w:tc>
          <w:tcPr>
            <w:tcW w:w="860" w:type="dxa"/>
            <w:vAlign w:val="bottom"/>
            <w:gridSpan w:val="4"/>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100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(47,377)</w:t>
            </w:r>
          </w:p>
        </w:tc>
        <w:tc>
          <w:tcPr>
            <w:tcW w:w="0" w:type="dxa"/>
            <w:vAlign w:val="bottom"/>
          </w:tcPr>
          <w:p>
            <w:pPr>
              <w:spacing w:after="0"/>
              <w:rPr>
                <w:sz w:val="1"/>
                <w:szCs w:val="1"/>
                <w:color w:val="auto"/>
              </w:rPr>
            </w:pPr>
          </w:p>
        </w:tc>
      </w:tr>
      <w:tr>
        <w:trPr>
          <w:trHeight w:val="126"/>
        </w:trPr>
        <w:tc>
          <w:tcPr>
            <w:tcW w:w="3740" w:type="dxa"/>
            <w:vAlign w:val="bottom"/>
            <w:gridSpan w:val="7"/>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 Capital Reclassification (from Class A</w:t>
            </w:r>
          </w:p>
        </w:tc>
        <w:tc>
          <w:tcPr>
            <w:tcW w:w="96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342,773,160</w:t>
            </w:r>
          </w:p>
        </w:tc>
        <w:tc>
          <w:tcPr>
            <w:tcW w:w="14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tcBorders>
              <w:left w:val="single" w:sz="8" w:color="CCEEFF"/>
            </w:tcBorders>
            <w:gridSpan w:val="2"/>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tcBorders>
              <w:left w:val="single" w:sz="8" w:color="CCEEFF"/>
            </w:tcBorders>
            <w:gridSpan w:val="2"/>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0"/>
                <w:szCs w:val="10"/>
                <w:color w:val="auto"/>
              </w:rPr>
            </w:pPr>
          </w:p>
        </w:tc>
        <w:tc>
          <w:tcPr>
            <w:tcW w:w="7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20" w:type="dxa"/>
            <w:vAlign w:val="bottom"/>
            <w:gridSpan w:val="3"/>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 Class B)</w:t>
            </w:r>
          </w:p>
        </w:tc>
        <w:tc>
          <w:tcPr>
            <w:tcW w:w="12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(342,773,160)</w:t>
            </w:r>
          </w:p>
        </w:tc>
        <w:tc>
          <w:tcPr>
            <w:tcW w:w="960" w:type="dxa"/>
            <w:vAlign w:val="bottom"/>
            <w:gridSpan w:val="4"/>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tcBorders>
              <w:lef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tcBorders>
              <w:lef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stocks-cash</w:t>
            </w:r>
          </w:p>
        </w:tc>
        <w:tc>
          <w:tcPr>
            <w:tcW w:w="1260" w:type="dxa"/>
            <w:vAlign w:val="bottom"/>
            <w:gridSpan w:val="5"/>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113,050,000</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8</w:t>
            </w:r>
          </w:p>
        </w:tc>
        <w:tc>
          <w:tcPr>
            <w:tcW w:w="60" w:type="dxa"/>
            <w:vAlign w:val="bottom"/>
          </w:tcPr>
          <w:p>
            <w:pPr>
              <w:spacing w:after="0"/>
              <w:rPr>
                <w:sz w:val="12"/>
                <w:szCs w:val="12"/>
                <w:color w:val="auto"/>
              </w:rPr>
            </w:pPr>
          </w:p>
        </w:tc>
        <w:tc>
          <w:tcPr>
            <w:tcW w:w="6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116,026</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tcPr>
          <w:p>
            <w:pPr>
              <w:jc w:val="right"/>
              <w:ind w:right="1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5"/>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116,034</w:t>
            </w:r>
          </w:p>
        </w:tc>
        <w:tc>
          <w:tcPr>
            <w:tcW w:w="100" w:type="dxa"/>
            <w:vAlign w:val="bottom"/>
          </w:tcPr>
          <w:p>
            <w:pPr>
              <w:spacing w:after="0"/>
              <w:rPr>
                <w:sz w:val="12"/>
                <w:szCs w:val="12"/>
                <w:color w:val="auto"/>
              </w:rPr>
            </w:pPr>
          </w:p>
        </w:tc>
        <w:tc>
          <w:tcPr>
            <w:tcW w:w="7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4"/>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116,034</w:t>
            </w:r>
          </w:p>
        </w:tc>
        <w:tc>
          <w:tcPr>
            <w:tcW w:w="0" w:type="dxa"/>
            <w:vAlign w:val="bottom"/>
          </w:tcPr>
          <w:p>
            <w:pPr>
              <w:spacing w:after="0"/>
              <w:rPr>
                <w:sz w:val="1"/>
                <w:szCs w:val="1"/>
                <w:color w:val="auto"/>
              </w:rPr>
            </w:pPr>
          </w:p>
        </w:tc>
      </w:tr>
      <w:tr>
        <w:trPr>
          <w:trHeight w:val="126"/>
        </w:trPr>
        <w:tc>
          <w:tcPr>
            <w:tcW w:w="3740" w:type="dxa"/>
            <w:vAlign w:val="bottom"/>
            <w:gridSpan w:val="7"/>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Preferred Shares into Ordinary</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gridSpan w:val="3"/>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162</w:t>
            </w:r>
          </w:p>
        </w:tc>
        <w:tc>
          <w:tcPr>
            <w:tcW w:w="60" w:type="dxa"/>
            <w:vAlign w:val="bottom"/>
            <w:shd w:val="clear" w:color="auto" w:fill="CCEEFF"/>
          </w:tcPr>
          <w:p>
            <w:pPr>
              <w:spacing w:after="0"/>
              <w:rPr>
                <w:sz w:val="10"/>
                <w:szCs w:val="10"/>
                <w:color w:val="auto"/>
              </w:rPr>
            </w:pPr>
          </w:p>
        </w:tc>
        <w:tc>
          <w:tcPr>
            <w:tcW w:w="6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1,505,315</w:t>
            </w: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tcBorders>
              <w:left w:val="single" w:sz="8" w:color="CCEEFF"/>
            </w:tcBorders>
            <w:gridSpan w:val="2"/>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5"/>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1,505,477</w:t>
            </w:r>
          </w:p>
        </w:tc>
        <w:tc>
          <w:tcPr>
            <w:tcW w:w="100" w:type="dxa"/>
            <w:vAlign w:val="bottom"/>
            <w:shd w:val="clear" w:color="auto" w:fill="CCEEFF"/>
          </w:tcPr>
          <w:p>
            <w:pPr>
              <w:spacing w:after="0"/>
              <w:rPr>
                <w:sz w:val="10"/>
                <w:szCs w:val="10"/>
                <w:color w:val="auto"/>
              </w:rPr>
            </w:pPr>
          </w:p>
        </w:tc>
        <w:tc>
          <w:tcPr>
            <w:tcW w:w="7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4"/>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1,505,477</w:t>
            </w:r>
          </w:p>
        </w:tc>
        <w:tc>
          <w:tcPr>
            <w:tcW w:w="0" w:type="dxa"/>
            <w:vAlign w:val="bottom"/>
          </w:tcPr>
          <w:p>
            <w:pPr>
              <w:spacing w:after="0"/>
              <w:rPr>
                <w:sz w:val="1"/>
                <w:szCs w:val="1"/>
                <w:color w:val="auto"/>
              </w:rPr>
            </w:pPr>
          </w:p>
        </w:tc>
      </w:tr>
      <w:tr>
        <w:trPr>
          <w:trHeight w:val="171"/>
        </w:trPr>
        <w:tc>
          <w:tcPr>
            <w:tcW w:w="2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12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2,286,229,707</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80" w:type="dxa"/>
            <w:vAlign w:val="bottom"/>
            <w:tcBorders>
              <w:right w:val="single" w:sz="8" w:color="CCEEFF"/>
            </w:tcBorders>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tcBorders>
              <w:left w:val="single" w:sz="8" w:color="CCEEFF"/>
            </w:tcBorders>
            <w:gridSpan w:val="2"/>
            <w:vMerge w:val="continue"/>
            <w:shd w:val="clear" w:color="auto" w:fill="CCEEFF"/>
          </w:tcPr>
          <w:p>
            <w:pPr>
              <w:spacing w:after="0"/>
              <w:rPr>
                <w:sz w:val="14"/>
                <w:szCs w:val="14"/>
                <w:color w:val="auto"/>
              </w:rPr>
            </w:pPr>
          </w:p>
        </w:tc>
        <w:tc>
          <w:tcPr>
            <w:tcW w:w="1000" w:type="dxa"/>
            <w:vAlign w:val="bottom"/>
            <w:gridSpan w:val="5"/>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1000" w:type="dxa"/>
            <w:vAlign w:val="bottom"/>
            <w:gridSpan w:val="4"/>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Purchase of shares from non-controlling</w:t>
            </w: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118</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gridSpan w:val="2"/>
            <w:vMerge w:val="restart"/>
          </w:tcPr>
          <w:p>
            <w:pPr>
              <w:jc w:val="right"/>
              <w:ind w:right="1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5"/>
            <w:vMerge w:val="restart"/>
          </w:tcPr>
          <w:p>
            <w:pPr>
              <w:jc w:val="right"/>
              <w:ind w:right="23"/>
              <w:spacing w:after="0"/>
              <w:rPr>
                <w:sz w:val="20"/>
                <w:szCs w:val="20"/>
                <w:color w:val="auto"/>
              </w:rPr>
            </w:pPr>
            <w:r>
              <w:rPr>
                <w:rFonts w:ascii="Times New Roman" w:cs="Times New Roman" w:eastAsia="Times New Roman" w:hAnsi="Times New Roman"/>
                <w:sz w:val="14"/>
                <w:szCs w:val="14"/>
                <w:color w:val="auto"/>
              </w:rPr>
              <w:t>118</w:t>
            </w:r>
          </w:p>
        </w:tc>
        <w:tc>
          <w:tcPr>
            <w:tcW w:w="86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(272)</w:t>
            </w:r>
          </w:p>
        </w:tc>
        <w:tc>
          <w:tcPr>
            <w:tcW w:w="1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71"/>
        </w:trPr>
        <w:tc>
          <w:tcPr>
            <w:tcW w:w="24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interests</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00" w:type="dxa"/>
            <w:vAlign w:val="bottom"/>
            <w:gridSpan w:val="5"/>
            <w:vMerge w:val="continue"/>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740" w:type="dxa"/>
            <w:vAlign w:val="bottom"/>
            <w:gridSpan w:val="7"/>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 adjustment, net</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nil income taxes</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tcBorders>
              <w:left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5"/>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1,483</w:t>
            </w: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1,483</w:t>
            </w:r>
          </w:p>
        </w:tc>
        <w:tc>
          <w:tcPr>
            <w:tcW w:w="0" w:type="dxa"/>
            <w:vAlign w:val="bottom"/>
          </w:tcPr>
          <w:p>
            <w:pPr>
              <w:spacing w:after="0"/>
              <w:rPr>
                <w:sz w:val="1"/>
                <w:szCs w:val="1"/>
                <w:color w:val="auto"/>
              </w:rPr>
            </w:pPr>
          </w:p>
        </w:tc>
      </w:tr>
      <w:tr>
        <w:trPr>
          <w:trHeight w:val="143"/>
        </w:trPr>
        <w:tc>
          <w:tcPr>
            <w:tcW w:w="2480" w:type="dxa"/>
            <w:vAlign w:val="bottom"/>
            <w:tcBorders>
              <w:top w:val="single" w:sz="8" w:color="CCEEFF"/>
              <w:bottom w:val="single" w:sz="8" w:color="CCEEFF"/>
            </w:tcBorders>
            <w:gridSpan w:val="2"/>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300" w:type="dxa"/>
            <w:vAlign w:val="bottom"/>
            <w:tcBorders>
              <w:top w:val="single" w:sz="8" w:color="CCEEFF"/>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2,516,653,606</w:t>
            </w:r>
          </w:p>
        </w:tc>
        <w:tc>
          <w:tcPr>
            <w:tcW w:w="4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342,773,160</w:t>
            </w:r>
          </w:p>
        </w:tc>
        <w:tc>
          <w:tcPr>
            <w:tcW w:w="2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CCEEFF"/>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201</w:t>
            </w:r>
          </w:p>
        </w:tc>
        <w:tc>
          <w:tcPr>
            <w:tcW w:w="200" w:type="dxa"/>
            <w:vAlign w:val="bottom"/>
            <w:tcBorders>
              <w:top w:val="single" w:sz="8" w:color="CCEEFF"/>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1,668,465</w:t>
            </w:r>
          </w:p>
        </w:tc>
        <w:tc>
          <w:tcPr>
            <w:tcW w:w="2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CCEEFF"/>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(97,912</w:t>
            </w:r>
          </w:p>
        </w:tc>
        <w:tc>
          <w:tcPr>
            <w:tcW w:w="4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CCEEFF"/>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3"/>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(1,762,180</w:t>
            </w:r>
          </w:p>
        </w:tc>
        <w:tc>
          <w:tcPr>
            <w:tcW w:w="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CCEEFF"/>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3"/>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(191,426</w:t>
            </w:r>
          </w:p>
        </w:tc>
        <w:tc>
          <w:tcPr>
            <w:tcW w:w="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CCEEFF"/>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29,208</w:t>
            </w:r>
          </w:p>
        </w:tc>
        <w:tc>
          <w:tcPr>
            <w:tcW w:w="10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(162,218</w:t>
            </w:r>
          </w:p>
        </w:tc>
        <w:tc>
          <w:tcPr>
            <w:tcW w:w="80" w:type="dxa"/>
            <w:vAlign w:val="bottom"/>
            <w:tcBorders>
              <w:top w:val="single" w:sz="8" w:color="CCEEFF"/>
              <w:bottom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3"/>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2025 in US$</w:t>
            </w:r>
          </w:p>
        </w:tc>
        <w:tc>
          <w:tcPr>
            <w:tcW w:w="3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29</w:t>
            </w:r>
          </w:p>
        </w:tc>
        <w:tc>
          <w:tcPr>
            <w:tcW w:w="6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238,588</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(14,001</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(251,988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(27,372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4,177</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(23,195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2025, the Company amended its memorandum and articles of association to increase the authorized share capital to 20,000,000,000 shares, comprising 16,000,000,000 Class A ordinary shares and 800,000,000 Class B ordinary shares, with the remaining 3,200,000,000 shares to be designated by the Board of Directors, with a par value of US$0.00001 each.</w:t>
      </w:r>
    </w:p>
    <w:p>
      <w:pPr>
        <w:spacing w:after="0" w:line="17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19, 2025, the Company completed its initial public offering (IPO) and was listed on Nasdaq, all preferred shares were converted into Class A ordinary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560" w:type="dxa"/>
            <w:vAlign w:val="bottom"/>
            <w:tcBorders>
              <w:top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(105,621)</w:t>
            </w:r>
          </w:p>
        </w:tc>
        <w:tc>
          <w:tcPr>
            <w:tcW w:w="14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(34,941)</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(47,377)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Adjustments to reconcile net loss to net cash used in operating activities: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2,021</w:t>
            </w:r>
          </w:p>
        </w:tc>
        <w:tc>
          <w:tcPr>
            <w:tcW w:w="148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1,454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(Reversal) Allowance for credit losses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48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453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waiver of liabilities</w:t>
            </w: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3,728</w:t>
            </w:r>
          </w:p>
        </w:tc>
        <w:tc>
          <w:tcPr>
            <w:tcW w:w="14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 related to convertible note</w:t>
            </w: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Redemption of non-controlling interest</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 (gain) of equity method investments</w:t>
            </w: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w:t>
            </w:r>
          </w:p>
        </w:tc>
        <w:tc>
          <w:tcPr>
            <w:tcW w:w="14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w:t>
            </w:r>
          </w:p>
        </w:tc>
        <w:tc>
          <w:tcPr>
            <w:tcW w:w="15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on financial liabilities at fair value</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4,518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 on financial liabilities at fair value</w:t>
            </w: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derecognition of financial liabilities</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1,953</w:t>
            </w:r>
          </w:p>
        </w:tc>
        <w:tc>
          <w:tcPr>
            <w:tcW w:w="14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disposal of property and equipment</w:t>
            </w: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40</w:t>
            </w:r>
          </w:p>
        </w:tc>
        <w:tc>
          <w:tcPr>
            <w:tcW w:w="14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51,436</w:t>
            </w:r>
          </w:p>
        </w:tc>
        <w:tc>
          <w:tcPr>
            <w:tcW w:w="14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3,898</w:t>
            </w:r>
          </w:p>
        </w:tc>
        <w:tc>
          <w:tcPr>
            <w:tcW w:w="14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(871)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11,669</w:t>
            </w:r>
          </w:p>
        </w:tc>
        <w:tc>
          <w:tcPr>
            <w:tcW w:w="14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(5,472)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48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51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(237)</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455</w:t>
            </w:r>
          </w:p>
        </w:tc>
        <w:tc>
          <w:tcPr>
            <w:tcW w:w="148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1,132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9,227</w:t>
            </w:r>
          </w:p>
        </w:tc>
        <w:tc>
          <w:tcPr>
            <w:tcW w:w="14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(11,997)</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(11,504)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8,593</w:t>
            </w:r>
          </w:p>
        </w:tc>
        <w:tc>
          <w:tcPr>
            <w:tcW w:w="14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(10,989)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6,492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928</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8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(17,956</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(61,439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(49,179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(7,032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333" w:right="339" w:bottom="1082"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9" w:lineRule="exact"/>
        <w:rPr>
          <w:sz w:val="20"/>
          <w:szCs w:val="20"/>
          <w:color w:val="auto"/>
        </w:rPr>
      </w:pPr>
    </w:p>
    <w:p>
      <w:pPr>
        <w:ind w:right="1420"/>
        <w:spacing w:after="0" w:line="253" w:lineRule="auto"/>
        <w:rPr>
          <w:sz w:val="20"/>
          <w:szCs w:val="20"/>
          <w:color w:val="auto"/>
        </w:rPr>
      </w:pPr>
      <w:r>
        <w:rPr>
          <w:rFonts w:ascii="Times New Roman" w:cs="Times New Roman" w:eastAsia="Times New Roman" w:hAnsi="Times New Roman"/>
          <w:sz w:val="18"/>
          <w:szCs w:val="18"/>
          <w:color w:val="auto"/>
        </w:rPr>
        <w:t>Cash paid for purchase of property and equipment Cash paid for (proceeds from) long-term investments</w:t>
      </w:r>
    </w:p>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(2,070)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55"/>
        </w:trPr>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(1,160)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(3,230</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-453390</wp:posOffset>
            </wp:positionV>
            <wp:extent cx="71323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-161925</wp:posOffset>
            </wp:positionV>
            <wp:extent cx="713232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333" w:right="339" w:bottom="1082"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stocks-cash</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116,034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16,593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Repayment for short-term borrowings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(11,125)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shareholder loans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14,203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Repayment for shareholder loans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(7,193)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(8,374)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(8,702)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 net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(8,500)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(6,406)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Loans provided to related parties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7,925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Settlement of Series C Preferred Convertible notes payable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7,749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 from non-controlling interest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18,545</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60,368</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155,288</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22,206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(2,856)</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(1,057)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106,714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15,260</w:t>
            </w: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6,685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and cash equivalents at the end of the year</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3,829</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2,772</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109,486</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15,656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right-of-use assets and operating lease liabilities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 investing and financing activities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Series B Redeemable Convertible Preferred Shares upon conversion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of financial liabilities (see Note 11)</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287,331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082" w:gutter="0" w:footer="0" w:header="0"/>
          <w:type w:val="continuous"/>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Yimutian Inc. (“the Company”), through its wholly-owned subsidiaries and consolidated variable interest entities (“VIEs”) (collectively referred to as “the Group”), is principally engaged in the provision of integrated platform services for agricultural product transaction in the People’s Republic of China (the “PRC”).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operates its online business in the PRC through Beijing Yimutian Network Technology Co., Ltd. (“Beijing Yimutian” or the “WFOE”), Beijing Yimutian New Agriculture Network Technology Co., Ltd. (“Yimutian Xinnong”), which was established on August 1, 2011 and Beijing Douniu Network Technology Co., Ltd. (“Beijing Douniu”), which was established on September 10, 2021, (collectively the “VIEs”), in order to comply with the PRC laws and regulations which prohibit or restrict control of companies involved in the provision of value-added telecommunication services by foreign investors. The VIEs hold the necessary licenses to carry out the internet value-added businesses in China. The equity interests of Yimutian Xinnong and Beijing Douniu are legally held by Mr. Deng Jinhong and certain individuals who act as nominee equity holders of the VIEs on behalf of WFOE, the Company’s wholly owned subsidiary. A series of contractual agreements, including Powers of Attorney, Exclusive Business Cooperation Agreements, Equity Pledge Agreements, Exclusive Option Agreements, Letter of Confirmation and Undertaking and Spouse Consent Letters (collectively, the “VIE Agreements”), were entered among WFOE, VIEs and its nominee equity holders. Through the VIE Agreements, the nominee equity holders of the VIEs have granted all their legal rights including voting rights and disposition rights of their equity interests in the VIEs to WFOE.</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VIE Agreements, the Company is able to exercise effective control over, enjoys substantially all of the economic benefits of the VIEs, and has an exclusive option to purchase all or part of the equity interests in the VIEs when and to the extent permitted by PRC law at the lowest price possible. The Company’s management concluded that Yimutian Xinnong and Beijing Douniu are VIEs and WFOE is its primary beneficiary. As such, the consolidated financial statements of the VIEs are included in the consolidated financial statements of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principal terms of the VIE Agreements are described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Powers of Attorney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powers of attorney executed by the equity holders of the VIEs, each of them irrevocably authorizes the WFOE, or any person designated by the WFOE, to act on their respective behalf as proxy attorney, to the extent permitted by law, to exercise all rights of shareholders concerning all the equity interest held by each of them in the VIEs, including without limitation, the right to (i) propose, convene and attend shareholders’ meetings and sign relevant resolutions, (ii) exercise all shareholder’s rights under laws of Chinese Mainland and the articles of association of the VIEs, such as the voting right, nomination right and appointment right, (iii) receive dividends and sell, transfer, pledge or dispose of all the equity held in part or in whole in the VIEs. The powers of attorney remain irrevocably effective as long as such equity holders remain as the equity holders of the VIEs.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Exclusive Business Cooperation Agreements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exclusive business cooperation agreements, among the WFOE and the VIEs, the WFOE has the exclusive right to provide the VIEs with comprehensive technological support and consulting services, including but not limited to software licensing, technology research and development, staff training and technology consultations. Without the WFOE’s prior written consent, the VIEs may not accept the same or similar service contemplated by the agreement provided by any third party during the term of the agreement. The VIEs agreed to pay the WFOE service fees, the amount of which will be subject to adjustment by the WFOE. The exclusive business cooperation agreement remains effective indefinitely except agreed otherwise or terminated by the WFOE in writing. The Exclusive Business Cooperation Agreement between Beijing Yimutian and Xinnong will be in effect until July 31, 2031 which represents the end of operation term of Xinnong, and agreement between Beijing Yimutian and Douniu will be effect until May 13, 2044 which represents the end of operation term of Beijing Yimutian.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DESCRIPTION OF BUSINESS AND ORGANIZATION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Equity Pledge Agreements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equity pledge agreements among the WFOE, the VIEs and their respective equity holders, the equity holders of the VIEs pledged all of their equity interests in the VIEs to the WFOE to guarantee the performance of the obligations by such equity holders and by the VIEs under the exclusive option agreements, the exclusive business cooperation agreements and the powers of attorney. In the event of a breach by the VIEs or any of their respective equity holders of the obligations under these contractual arrangements, the WFOE, as pledgee, will have the right to enforce the pledge. The equity holders of the VIEs also covenant that, without the prior written consent of the WFOE, they will not dispose of the pledged equity, create or allow any encumbrance on the pledged equity. The agreement will remain in effect until the fulfillment of all the obligations under other VIE agreements. The equity holders of the VIEs completed all the registration of the equity pledge contemplated under the equity pledge agreements with the competent authorities in accordance with relevant laws and regulations of mainland China in December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 Exclusive Option Agreements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exclusive option agreements entered among the WFOE, the VIEs and their respective equity holders, each of the equity holders of the VIEs has irrevocably granted the WFOE, or any person or persons designated by the WFOE, an exclusive option to purchase all or part of the equity in the VIEs. The WFOE or person(s) designated by the WFOE may exercise such options to purchase equity in the VIEs at the lowest price permitted under laws of Chinese mainland. The VIEs and their respective equity holders covenant that, without the WFOE’s prior written consent, they will not, among other things, (i) amend the VIEs’ articles of association, (ii) increase or decrease the VIEs’ registered capital or change its structure of registered capital, and (iii) sell, transfer, mortgage, or dispose of any assets of the VIEs’ that is more than US$50,000. The equity holders of the VIEs covenant that they will not create any pledge or encumbrance on their equity in the VIEs, other than those created under the equity pledge agreements as part of the contractual arrangements. The Exclusive Option Agreements will be terminated when the entire equity interests in the VIEs have been transferred to the Company or its designee(s) pursuant to the agreements.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Letters of Confirmation and Undertaking</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letters of confirmation and undertaking executed by the equity holders of the VIEs, each of them, among other things, (i) confirms that his/her spouse does not have the right to claim any interests in the respective equity of the VIEs (together with any other interests therein) or exert influence on the day-to-day management and voting matters of the respective equity of the VIEs; undertakes that (ii) in the event of his/her divorce, he/she will take all actions that the WFOE deems necessary to safeguard the execution of the contractual arrangement; (iii) he/she will not participate in, engage in, or merge with any business that competes with the WFOE or hold any interest from such business; (iv) he/she will not cause any conflict of interest between the WFOE and the VIEs or himself/herself; and (v) in the event of such conflict of interest, he/she will act in accordance with the WFOE’s instruction to eliminate such conflict of interest. The letters will remain in effect until the fulfillment of all the obligations under other VIE agreements.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DESCRIPTION OF BUSINESS AND ORGANIZATION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 Spouse Consent Letters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spousal consent letters executed by the spouses of the applicable individual equity holders of the VIEs, each of them unconditionally and irrevocably agreed that the equity in the WFOE held by and registered in the name of such shareholder be disposed of in accordance with the exclusive business cooperation agreements, the exclusive option agreements, the equity pledge agreements, the powers of attorney, and the letters of confirmation and undertaking, and that such equity holders may perform, amend or terminate such agreements without his or her spouse’s consent. In addition, each of them agrees not to assert any rights over the equity interest in the VIEs held by his or her respective spouses. In the event that any of them obtains any equity interest in the VIEs held by their respective spouses for any reason, such spouses agree to be bound by similar obligations and agree to enter into similar contractual arrangements. The letters will remain in effect until the fulfillment of all the obligations under other VIE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in relation to VIE structure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opinion of the Company’s management, based on the legal opinion obtained from the Company’s PRC legal counsel, the VIE Agreements have resulted in the Company having the power to direct activities that most significantly impact the VIEs, including appointing key management, setting up operating policies, exerting financial controls and transferring profit or assets out of the VIE at its discretion. The Company considers that it has the right to receive all the benefits and assets of the VIEs. As the VIEs were established as a limited liability company under the PRC law, its creditors do not have recourse to the general credit of the Company for the liabilities of the VIEs, and the Company does not have the obligation to assume the liabilities of the VIEs.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determined that the VIE Agreements are in compliance with PRC laws and are legally enforceable.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ability to control the VIEs also depends on the rights provided to the Company under the Powers of Attorney to vote on all matters requiring equity holders’ approval in the respective VIEs. As noted above, the Company believes these Powers of Attorney are legally enforceable but yet they may not be as effective as direct equity ownership. In addition, if the corporate structure of the Group or the contractual arrangements between Beijing Yimutian the VIEs and its respective equity holders were found to be in violation of any existing PRC laws and regulations, the relevant PRC regulatory authorities could:</w:t>
      </w:r>
    </w:p>
    <w:p>
      <w:pPr>
        <w:spacing w:after="0" w:line="183" w:lineRule="exact"/>
        <w:rPr>
          <w:sz w:val="20"/>
          <w:szCs w:val="20"/>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the business licenses and/or operating licenses of the WFOE and VIEs;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or place restrictions or onerous conditions on the operations through transactions between the WFOE and VIEs;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fines, confiscate the income from WFOE or the VIEs, or impose other requirements with which the Company or the VIEs may not be able to comply;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Company to restructure the ownership structure or operations, including terminating the contractual arrangements with the VIEs and deregistering the equity pledges of the VIEs, which in turn would affect the Company’s ability to consolidate, derive economic interests from, or exert effective control over the VIEs;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or prohibit the Company use of the proceeds of overseas offering or other offshore financing activities to fund the business and operations in China and the Company’ right to collect revenues;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other regulatory or enforcement actions that could be harmful to the business.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imposition of any of the above restrictions or actions may result in a material and adverse effect on the Group’s ability to conduct its business. In addition, if the imposition of any of these restrictions causes the Company to lose the right to direct the activities of the VIEs or the right to receive its economic benefits, the Company would no longer be able to consolidate the VIEs. The Company’s management believes that the likelihood to lose the Company’s current ownership structure or the contractual arrangements with the VIE is remote based on the current facts and circumstances.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DESCRIPTION OF BUSINESS AND ORGANIZATION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is no VIE in which the Company has a variable interest but is not the primary beneficiary. Currently there is no contractual arrangement that could require the Company to provide additional financial support to the VIEs.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consolidated assets and liabilities information of the Group’s VIEs as of December 31, 2024 and 2025, and consolidated revenues, net loss and cash flow information for the years ended December 31, 2023, 2024 and 2025, have been included in the accompanying consolidated financial statements. All intercompany transactions and balances with the Company and its subsidiaries have been eliminated upon consolidation.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5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20"/>
                <w:szCs w:val="20"/>
                <w:color w:val="auto"/>
              </w:rPr>
            </w:pPr>
          </w:p>
        </w:tc>
        <w:tc>
          <w:tcPr>
            <w:tcW w:w="15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receivable from parent company*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5,394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5,394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Intercompany receivable from subsidiaries*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10,898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11,527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1,648</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23,190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23,685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3,387</w:t>
            </w:r>
          </w:p>
        </w:tc>
        <w:tc>
          <w:tcPr>
            <w:tcW w:w="80" w:type="dxa"/>
            <w:vAlign w:val="bottom"/>
            <w:shd w:val="clear" w:color="auto" w:fill="CCEEFF"/>
          </w:tcPr>
          <w:p>
            <w:pPr>
              <w:spacing w:after="0"/>
              <w:rPr>
                <w:sz w:val="18"/>
                <w:szCs w:val="18"/>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2,301</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20"/>
                <w:szCs w:val="20"/>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41,776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6,450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18"/>
                <w:szCs w:val="18"/>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2,782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10,253</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4,504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643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52,029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49,580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7,088</w:t>
            </w:r>
          </w:p>
        </w:tc>
        <w:tc>
          <w:tcPr>
            <w:tcW w:w="80" w:type="dxa"/>
            <w:vAlign w:val="bottom"/>
            <w:shd w:val="clear" w:color="auto" w:fill="CCEEFF"/>
          </w:tcPr>
          <w:p>
            <w:pPr>
              <w:spacing w:after="0"/>
              <w:rPr>
                <w:sz w:val="21"/>
                <w:szCs w:val="2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4,077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87,989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75,718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10,828</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10,375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1,484</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 loans, at amortized cost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35,000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5,005</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Intercompany payable to parent company**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50,884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50,884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7,276</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payable to WFOE**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75,840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98,644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14,105</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Intercompany payable to subsidiaries**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28,900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28,196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4,032</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46,172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45,379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6,489</w:t>
            </w:r>
          </w:p>
        </w:tc>
        <w:tc>
          <w:tcPr>
            <w:tcW w:w="80" w:type="dxa"/>
            <w:vAlign w:val="bottom"/>
            <w:shd w:val="clear" w:color="auto" w:fill="CCEEFF"/>
          </w:tcPr>
          <w:p>
            <w:pPr>
              <w:spacing w:after="0"/>
              <w:rPr>
                <w:sz w:val="18"/>
                <w:szCs w:val="18"/>
                <w:color w:val="auto"/>
              </w:rPr>
            </w:pPr>
          </w:p>
        </w:tc>
      </w:tr>
      <w:tr>
        <w:trPr>
          <w:trHeight w:val="23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3,614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20"/>
                <w:szCs w:val="20"/>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337,476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350,597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50,134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13,104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1,874</w:t>
            </w:r>
          </w:p>
        </w:tc>
        <w:tc>
          <w:tcPr>
            <w:tcW w:w="8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2,458</w:t>
            </w:r>
          </w:p>
        </w:tc>
        <w:tc>
          <w:tcPr>
            <w:tcW w:w="15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14,681</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13,104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352,157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363,701</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52,008</w:t>
            </w:r>
          </w:p>
        </w:tc>
        <w:tc>
          <w:tcPr>
            <w:tcW w:w="8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receivable to parent company and Intercompany receivable from subsidiaries amounts are eliminated upon consolidation.</w:t>
      </w:r>
    </w:p>
    <w:p>
      <w:pPr>
        <w:spacing w:after="0" w:line="225" w:lineRule="exact"/>
        <w:rPr>
          <w:sz w:val="20"/>
          <w:szCs w:val="20"/>
          <w:color w:val="auto"/>
        </w:rPr>
      </w:pPr>
    </w:p>
    <w:p>
      <w:pPr>
        <w:ind w:left="340" w:hanging="332"/>
        <w:spacing w:after="0" w:line="282" w:lineRule="auto"/>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payable to parent company, Intercompany payable to WFOE and Intercompany payable to subsidiaries amounts are eliminated upon consolidation.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DESCRIPTION OF BUSINESS AND ORGANIZATION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2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560" w:type="dxa"/>
            <w:vAlign w:val="bottom"/>
            <w:tcBorders>
              <w:top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160,176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140,318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(32,223)</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7,170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(13,837)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(1,160)</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(2,026)</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(2,183)</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(1,694)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5,414</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3,231</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1,537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unrecognized revenue-producing assets that are held by the VIEs primarily consist of ICP license, trademarks, patents, know-how and customer relationships. None of the assets of the VIEs can be used only to settle obligations of VIEs. None of the assets of the VIEs has been pledged or collateralized. The creditors of the VIE do not have recourse to the general credit of the Company or its consolidated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Group’s consolidated financial statements are presented in Renminbi (“RMB”), which is the functional currency of the Company’s primary operating entities. The Company’s reporting currency is also RMB. Translations from RMB to United States dollars (“US$”) are provided solely for the convenience of the reader at the exchange rate in effect at the balance sheet date. No representation is made that the RMB amounts could have been, or could be, converted into US$ at that rate or at any other rate.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a going concern basis, which contemplates the realization of assets and satisfaction of liabilities in the normal course of business. As discussed in Note 2 (b), certain conditions and events raise substantial doubt about the Group’s ability to continue as a going concern.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Going concern considerations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Group will continue as a going concern.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Group incurred a net loss of RMB47,377 (US$6,775) and had net cash used in operating activities of RMB45,540 (US$6,513). As of December 31, 2025, the Group had net current liabilities of RMB155,736 (US$22,269) and an accumulated deficit of RMB 1,762,180 (US$251,988). These conditions raise substantial doubt about the Group’s ability to continue as a going concern within 12 months after the date that the consolidated financial statements are issued.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19, 2025, the Company completed its initial public offering (“IPO”), which significantly improved its liquidity position. As of December 31, 2025, the Group had cash and cash equivalents of RMB 109,486 (US$15,656). As of December 31, 2025, the Company has received notices from Nasdaq indicating non-compliance with the minimum bid price requirement. If the Company fails to regain compliance within the grace period, its ordinary shares may be delisted from Nasdaq. A delisting could materially impair the Company’s ability to access public capital markets and raise additional financing, and may trigger settlement or acceleration clauses under certain existing financing arrangements. Management has evaluated this condition as part of its going concern assessment under ASC 205-40 and concluded that it represents a significant risk that, when aggregated with other conditions described above, raises substantial doubt about the Company’s ability to continue as a going concern.</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Management has developed plans to improve the Group’s liquidity position, including optimizing cost structures, improving operating efficiency, and pursuing additional financing if necessary. However, these plans are subject to uncertainties and may not be successfully implemented.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substantial doubt about the Group’s ability to continue as a going concern remains.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Principles of consolidation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its subsidiaries, the VIEs in which the Group, through its WFOE, has a controlling financial interest, and the VIEs’ subsidiaries.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intercompany transactions and balances among the Group, its subsidiaries, the VIEs, and the VIEs’ subsidiaries are consolidated when the Company has a controlling financial interest, generally through ownership of a majority of the voting interests. Entities in which the Company holds less than a majority of the voting interests are consolidated if the Company is the primary beneficiary of a variable interest entity (VIE), in accordance with ASC 810,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Non-controlling interests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Group’s non-wholly owned subsidiaries, a non-controlling interest is recognized to reflect the portion of equity that is not attributable, directly or indirectly, to the Group. Non-controlling interests are classified as a separate line item in the equity section of the Group’s consolidated balance sheets and have been separately disclosed in the Group’s consolidated statements of comprehensive loss to distinguish the interests from that of the Group.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Use of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revenues and expenses during the reported periods in the consolidated financial statements and accompanying notes. Significant estimates and judgments include, but are not limited to, the allowance for credit losses, the realization of deferred income tax assets, incremental borrowing rates, the fair value of share-based compensation awards, and the measurement of accrued expenses and other liabilities. Changes in facts and circumstances may result in revised estimates. Actual results could differ from those estimates, and as such, differences may be material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Convenience translation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Translations of the consolidated financial statements from RMB into US$ as of and for the year ended December 31, 2025 are solely for the convenience of the readers.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exchange rate we used to convert RMB to US$ was 6.9931:1 at the balance sheet dates of December 31, 2025. The average exchange rate for the period has been used to translate revenues and expenses. The average exchange rates we used to convert RMB to US$ were 6.9931:1 for the year ended December 31, 2025.</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US$ convenience translation is not required under U.S. GAAP and all US$ convenience translation amounts in the accompanying consolidated financial statements are 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Significant judgments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make judgments in the application of accounting policies.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significant judgment relates to the assessment of whether certain financial instruments, including convertible notes, contain embedded derivatives that require bifurcation under ASC 815.</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evaluates the contractual terms of such instruments to determine whether the embedded features are clearly and closely related to the host contract and whether they qualify for the scope exception for contracts indexed to and settled in the Company’s own stock under ASC 815-40. This assessment involves judgment, particularly in evaluating settlement provisions, potential cash settlement features, and whether the conversion terms are indexed to the Company’s own stock.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this assessment, the Company concluded that the embedded conversion features do not require bifurcation and are accounted for as part of the host debt instrument. Changes in the interpretation of contractual terms or relevant accounting guidance could result in a different conclusion and materially affect the Company’s financial position and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Commitments and contingencies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Group is subject to loss contingencies, such as legal proceedings and claims arising out of its business, that cover a wide range of matters, including, among others, government investigations, shareholder lawsuits, and non-income tax matters. An accrual for a loss contingency is recognized when it is probable that a liability has been incurred and the amount of loss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Cash</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Cash consists of cash on hand and cash at bank. The Group places its cash with financial institutions with high-credit ratings and quality and believes it is not exposed to significant risk on cash and cash equivalents. The bank deposits with each financial institution in the Chinese Mainland, Hong Kong and United States, are insured by the government authorities up to RMB500, HKD500 and US$250, respectively. The bank deposits are insured by the government authorities with amounts up to RMB1,791 and RMB93,070 (US$13,309) as of December 31, 2024 and 2025, respectively. The uninsured portion of cash balances was RMB981 and RMB16,416 (US$2,347) as of December 31, 2024 and 2025, respectively. The Group has not experienced any losses in uninsured bank deposits.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also collects certain amounts on behalf of merchants and other counterparties through its platforms. Such amounts are included in cash and cash equivalents, with a corresponding liability recorded within other payables, as the Group does not have beneficial ownership of these funds.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are presented on a gross basis. The Group does not offset cash balances against liabilities, including amounts due to related parties, unless the criteria for offsetting under US GAAP are met.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Property and equipment, net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depreciation and any impairment. Depreciation is calculated on the straight-line method over the estimated useful lives of the assets,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5800" w:type="dxa"/>
            <w:vAlign w:val="bottom"/>
            <w:shd w:val="clear" w:color="auto" w:fill="CCEEFF"/>
          </w:tcPr>
          <w:p>
            <w:pPr>
              <w:jc w:val="center"/>
              <w:ind w:left="279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others</w:t>
            </w:r>
          </w:p>
        </w:tc>
        <w:tc>
          <w:tcPr>
            <w:tcW w:w="5800" w:type="dxa"/>
            <w:vAlign w:val="bottom"/>
          </w:tcPr>
          <w:p>
            <w:pPr>
              <w:jc w:val="center"/>
              <w:ind w:left="2790"/>
              <w:spacing w:after="0"/>
              <w:rPr>
                <w:sz w:val="20"/>
                <w:szCs w:val="20"/>
                <w:color w:val="auto"/>
              </w:rPr>
            </w:pPr>
            <w:r>
              <w:rPr>
                <w:rFonts w:ascii="Times New Roman" w:cs="Times New Roman" w:eastAsia="Times New Roman" w:hAnsi="Times New Roman"/>
                <w:sz w:val="18"/>
                <w:szCs w:val="18"/>
                <w:color w:val="auto"/>
              </w:rPr>
              <w:t>3 years</w:t>
            </w:r>
          </w:p>
        </w:tc>
      </w:tr>
      <w:tr>
        <w:trPr>
          <w:trHeight w:val="198"/>
        </w:trPr>
        <w:tc>
          <w:tcPr>
            <w:tcW w:w="5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5800" w:type="dxa"/>
            <w:vAlign w:val="bottom"/>
            <w:shd w:val="clear" w:color="auto" w:fill="CCEEFF"/>
          </w:tcPr>
          <w:p>
            <w:pPr>
              <w:jc w:val="center"/>
              <w:ind w:left="2750"/>
              <w:spacing w:after="0" w:line="198" w:lineRule="exact"/>
              <w:rPr>
                <w:sz w:val="20"/>
                <w:szCs w:val="20"/>
                <w:color w:val="auto"/>
              </w:rPr>
            </w:pPr>
            <w:r>
              <w:rPr>
                <w:rFonts w:ascii="Times New Roman" w:cs="Times New Roman" w:eastAsia="Times New Roman" w:hAnsi="Times New Roman"/>
                <w:sz w:val="18"/>
                <w:szCs w:val="18"/>
                <w:color w:val="auto"/>
              </w:rPr>
              <w:t>Shorter of lease term</w:t>
            </w:r>
          </w:p>
        </w:tc>
      </w:tr>
      <w:tr>
        <w:trPr>
          <w:trHeight w:val="216"/>
        </w:trPr>
        <w:tc>
          <w:tcPr>
            <w:tcW w:w="5440" w:type="dxa"/>
            <w:vAlign w:val="bottom"/>
            <w:shd w:val="clear" w:color="auto" w:fill="CCEEFF"/>
          </w:tcPr>
          <w:p>
            <w:pPr>
              <w:spacing w:after="0"/>
              <w:rPr>
                <w:sz w:val="18"/>
                <w:szCs w:val="18"/>
                <w:color w:val="auto"/>
              </w:rPr>
            </w:pPr>
          </w:p>
        </w:tc>
        <w:tc>
          <w:tcPr>
            <w:tcW w:w="5800" w:type="dxa"/>
            <w:vAlign w:val="bottom"/>
            <w:shd w:val="clear" w:color="auto" w:fill="CCEEFF"/>
          </w:tcPr>
          <w:p>
            <w:pPr>
              <w:jc w:val="center"/>
              <w:ind w:left="2750"/>
              <w:spacing w:after="0"/>
              <w:rPr>
                <w:sz w:val="20"/>
                <w:szCs w:val="20"/>
                <w:color w:val="auto"/>
              </w:rPr>
            </w:pPr>
            <w:r>
              <w:rPr>
                <w:rFonts w:ascii="Times New Roman" w:cs="Times New Roman" w:eastAsia="Times New Roman" w:hAnsi="Times New Roman"/>
                <w:sz w:val="18"/>
                <w:szCs w:val="18"/>
                <w:color w:val="auto"/>
              </w:rPr>
              <w:t>or the estimated useful</w:t>
            </w:r>
          </w:p>
        </w:tc>
      </w:tr>
      <w:tr>
        <w:trPr>
          <w:trHeight w:val="234"/>
        </w:trPr>
        <w:tc>
          <w:tcPr>
            <w:tcW w:w="5440" w:type="dxa"/>
            <w:vAlign w:val="bottom"/>
            <w:shd w:val="clear" w:color="auto" w:fill="CCEEFF"/>
          </w:tcPr>
          <w:p>
            <w:pPr>
              <w:spacing w:after="0"/>
              <w:rPr>
                <w:sz w:val="20"/>
                <w:szCs w:val="20"/>
                <w:color w:val="auto"/>
              </w:rPr>
            </w:pPr>
          </w:p>
        </w:tc>
        <w:tc>
          <w:tcPr>
            <w:tcW w:w="5800" w:type="dxa"/>
            <w:vAlign w:val="bottom"/>
            <w:shd w:val="clear" w:color="auto" w:fill="CCEEFF"/>
          </w:tcPr>
          <w:p>
            <w:pPr>
              <w:jc w:val="center"/>
              <w:ind w:left="2790"/>
              <w:spacing w:after="0"/>
              <w:rPr>
                <w:sz w:val="20"/>
                <w:szCs w:val="20"/>
                <w:color w:val="auto"/>
              </w:rPr>
            </w:pPr>
            <w:r>
              <w:rPr>
                <w:rFonts w:ascii="Times New Roman" w:cs="Times New Roman" w:eastAsia="Times New Roman" w:hAnsi="Times New Roman"/>
                <w:sz w:val="18"/>
                <w:szCs w:val="18"/>
                <w:color w:val="auto"/>
              </w:rPr>
              <w:t>lives of the assets</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items are retired or otherwise disposed of, income is charged or credited for the difference between net book value and the proceeds received thereon. Ordinary maintenance and repairs are charged to expense as incurred, and replacements and betterments are capitalized and amortized over the remaining useful life.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Impairment of long-lived assets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Long-lived assets are evaluated for impairment whenever events or changes in circumstances indicate that the carrying value of an asset or asset group may not be fully recoverable or that the useful life is shorter than the Group had originally estimated. When these events occur, the Group evaluates the impairment for the long-lived assets or asset group by comparing the carrying value of the assets to an estimate of future undiscounted cash flows expected to be generated from the use of the assets or asset group and their eventual disposition. If the sum of the expected future undiscounted cash flows is less than the carrying value of the assets or asset group, the Group recognizes an impairment loss based on the excess of the carrying value of the assets. No impairment of long-lived assets was recognized for the years ended December 31, 2023, 2024 and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Value added taxes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PRC subsidiaries and VIEs are subject to value added tax (“VAT”). Revenue is generally subject to VAT and subsequently paid to PRC tax authorities after netting input VAT on purchases. The excess of output VAT over input VAT is reflected in accrued expenses and other current liabilities, and the excess of input VAT over output VAT is reflected in prepayments and other current assets in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Fair value measurements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represents the price that would be received from selling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ASC 820, Fair Value Measurements and Disclosures (“ASC 820”) defines fair value, establishes a framework for measuring fair value and expands disclosures about fair value measurements. Accounting guidance establishes a three-level fair value hierarchy and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are: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 Include other inputs that are directly or indirectly observable in the marketplace.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Unobservable inputs which are supported by little or no market activity.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Financial assets and liabilities of the Group primarily consist of cash and restricted cash, accounts receivable, amounts due from related parties, receivable from online platforms, receivables on behalf of merchants, staff advances and deposits included in prepayments and other current assets and deposits included in other non-current assets, short-term borrowings, accounts payable, amounts due to related parties, accrued expenses and other current liabilities, financial liabilities, convertible notes payable and shareholder loans, at amortized cost. The carrying amounts of cash and restricted cash, accounts receivable, amounts due from related parties, receivable from online platforms, receivables on behalf of merchants, staff advances and deposits included in prepayments and other current assets, short-term borrowings, accounts payable, amounts due to related parties, accrued expenses and other current liabilities, convertible notes payable and shareholder loans, at amortized cost approximate their fair values due to the short-term maturities.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Group’s non-financial assets, such as property and equipment, equity investments without a readily determinable fair value the Group elects to use the measurement alternative to measure the investment at cost and equity method investments, would be measured at fair value only if they were determined to be impaired. On a recurring basis, financial liabilities presented in Note 10 elected fair value option were measured at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Revenue recognition</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Group adopted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recognizes revenue upon the transfer of control of promised services to the Group’s customers, in the amount of consideration the Group expects to receive for those services. Revenue is recorded net of value added tax (“VAT”).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Once a contract is determined to be within the scope of ASC 606 at contract inception, the Group identifies performance obligations in the contract. The Group recognizes revenue based on the amount of the transaction price that is allocated to each performance obligation when that performance obligation is satisfied.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Contracts with customers may include multiple performance obligations. For such arrangements, the Group allocates transaction price to each performance obligation based on its relative standalone selling price. The Group generally determines relative standalone selling prices based on its standard price list, taking into consideration market conditions and its overall pricing strategy.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another party is involved in a transaction, the Group evaluates whether it is a principal or an agent to determine whether revenue should be recorded on a gross or net basis. The Group acts as a principal if it obtains control over the goods and services before they are transferred to customers. In such case, revenue is recorded on a gross basis. If the Group does not control the goods and services before they are transferred to customers and acts as an agent, revenue is recorded on a net basis.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applied the practical expedient to expense costs as incurred for incremental costs to obtain a contract with a customer, such as sales commission, when the amortization period would have been one year or less. Other incremental costs of obtaining contracts with customers are capitalized and amortized on a systematic basis that is consistent with the transfer to the customer of the services to which the capitalized costs relate.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Digital Agricultural Commerce Services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Group operates two online platforms, namely Yimutian and Douniu, which facilitate transactions of agricultural products from merchants to wholesale markets and business buyers. The Group earns revenue from charging service fees on merchants in respect of membership services, value-added services and transaction services provided on Yimutian and Douniu platforms. When the service fees are paid in advance, they are initially recorded as contract liabilities and recognized as revenue when the related performance obligations are satisfied.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Membership services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Group provides subscription-based membership services to merchants on the online platforms, which allow its members to enjoy certain privileges, such as hosting premium storefronts on the Group’s online platforms. The subscription periods for the membership services range from one year to four years. The Group collects the non-refundable membership service fees in advance and records as contract liabilities, of which the subscription periods within one year are recorded in the current liabilities and the subscription periods over one year are recorded in the non-current liabilities. As the members receive and consume the benefits of obtaining the privileges throughout the subscription periods, the membership fees are recognized as revenue over the subscription periods on a straight-line basis as the customer simultaneously receives and consumes the benefits of the services.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Value-added services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provides merchants with value-added services, which include advertising services and contact privilege services.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Tian Bi is a virtual currency purchased by customers through prepayment on the Group's platform. Revenue from Tian Bi is recognized when the customer consumes the virtual currency in exchange for the Group's services. Unused Tian Bi balances that are not expected to be redeemed (“breakage”) are recognized as revenue in proportion to the pattern of rights exercised by the customer, based on historical redemption data.</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Group provides merchants with advertising services on the online platforms, which include display of digital advertisements and merchant certification services. For display of digital advertisements, the Group recognizes revenues from CPC (cost per click) arrangements based on the number of clicks and from CPM (cost per thousand impression) arrangements based on the number of times displayed and cost per thousand impressions. Merchant certification services, which provide merchants with certification labels, are valid ranging from one month to four years. Service fees from merchant certification services are recognized as revenue on a straight-line basis over the service period, as merchants simultaneously receive and consume the benefits from the certification services throughout the service period.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Contact privilege services enable merchants to make calls or send text messages to potential buyers via the online platforms for a fixed quantity over a period ranging from one month to four years. The Group recognizes revenue from contact privilege services at the point in time when the merchants exercise the right to make calls or send text messages or when the right expires unexercised.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collects value-added service fees in advance and records as contract liabilities. The contract balance that will be recognized as revenue in the next twelve months is classified as current liabilities, and the remaining balance is classified as non-current liabilities.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Transaction services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facilitates the sales transactions between merchants and buyers on Yimutian and Douniu platforms. Upon the completion of the transactions of certain agricultural products conducted on the platforms, the Group charges the merchants transaction fees.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Transaction fee is calculated as a predetermined percentage of the purchase price of the agricultural products. Transaction fee is recognized as revenue upon the completion of the transactions when the transaction service is accepted by merchants. The Group does not control the agricultural products before they are transferred to customers. Therefore, the Group recognizes revenue on a net basis i.e. it recognizes the transaction fees as its revenue.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Digital Agricultural Solutions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Group provides other digital agricultural solutions services to local agricultural production organizations, which primarily include providing industry consulting reports, brand promotion, organizing agricultural conferences and digital agricultural training programs. Revenue is recognized at the point in time when the report is delivered or when the conferences and promotion events take place. Revenue from provision of training programs is recognized over the period of the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Contract balances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either party to a contract has performed, the Group presents the contract in the consolidated balance sheets as a contract asset or a contract liability, depending on the relationship between the Group’s performance and the customer’s payment. A contract asset is recorded when the Group recognizes revenue before being unconditionally entitled to the consideration under the terms in the contract. A right to consideration is unconditional if only the passage of time is required before payment of the consideration is due.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contract liability is recorded when the customer pays consideration before the Group recognizes the related revenue. A contract liability is also recorded if the Group has an unconditional right to receive consideration before the Group recognizes the related revenue. A receivable is recorded when the Group has an unconditional right to consideration. A refund liability is recognized when the Group expects to refund consideration received from customers.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provision of credit losses for accounts receivable is based upon the expected credit losses (“CECL”) model. The CECL model requires an estimate of the credit losses expected over the life of accounts receivable since initial recognition, and accounts receivable with similar risk characteristics are grouped together when estimating CECL In assessing the CECL, the Group considers both quantitative and qualitative information that is reasonable and supportable, including historical credit loss experience, adjusted for relevant factors impacting collectability and forward-looking information indicative of external market conditions. While the Group uses the best information available in making determination, the ultimate recovery of recorded receivables is also dependent upon future economic events and other conditions that may be beyond the Group’s control. Accounts receivable which are deemed to be uncollectible are charged off against the allowance after all means of collection have been exhausted and the potential for recovery is considered remote. There is a time lag between when the Group estimates a portion of or the entire account balances to be uncollectible and when a write off of the account balances is taken. The Group does not have any off-balance sheet credit exposure related to its customers.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evaluates whether it controls the specified goods or services before transfer to the customer. Where the Group acts as an agent, revenue is recognized on a net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Cost of revenues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Cost of revenues consists primarily of (i) staff cost, (ii) cloud service fees charged by cloud service providers, (iii) depreciation and (iv) other costs related to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Selling and marketing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Selling and marketing expenses mainly consist of (i) staff cost, and (ii) advertising and promotion expenses, and (iii) rental, depreciation and other expenses related to selling and marketing functions. The advertising and promotion expenses were RMB17,404, RMB14,364 and RMB11,868 (US$1,697) for the year ended December 31, 2023, 2024 and 2025,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Research and development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(i) staff cost and (ii) rental, depreciation and other expenses related to research and development functions. Research and development expenses are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General and administrative expenses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(i) share-based compensation, staff cost, rental and depreciation related to general and administrative personnel, (ii) current expected credit losses, (iii) professional service fees, and (iv) other general corporate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 Inventories, net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Inventories, consisting of commodities available for sale, are stated at the lower of cost and net realizable value. Cost of inventories is mainly determined using the weighted average cost method. Adjustments are recorded to write down the cost of inventories to the estimated net realizable value due to slow-moving merchandise and damaged goods, which is dependent upon factors such as inventory aging, historical and forecasted consumer demand, and market conditions that impact pricing. The Company takes ownership, risks and rewards of the products purchased.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 Share-based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periodically grants share options to eligible employees, directors, and consultants, which are subject to both service and performance conditions.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share-based awards granted with only service conditions that have a graded vesting schedule, share-based compensation expenses are recognized using the straight-line method over the requisite service period, provided that the cumulative amount of compensation cost recognized at any date at least equals the portion of the grant-date value of such award that is vested at that date. For the share-based awards granted with both a service condition and an initial public offering ("IPO") performance condition, share-based compensation expenses are measured at the grant-date fair value and recognized on a tranche-by-tranche basis when it is probable an IPO will be achieved. Upon the IPO completion in August 2025, this performance condition is satisfied. The Company elects to recognize the effect of forfeitures in compensation cost when they occur. To the extent the required vesting conditions are not met resulting in the forfeiture of the share-based awards, previously recognized compensation expense relating to those awards is reversed.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share-based awards granted with only service conditions that have a graded vesting schedule, share-based compensation expenses are recognized using the straight-line method, over the requisite service period, provided that the cumulative amount of compensation cost recognized at any date at least equals the portion of the grant-date value of such award that is vested at that date. For the share-based awards granted with both a service condition and an initial public offering (“IPO”) performance condition, share-based compensation expenses are measured at the grant-date fair value and recognized on a tranche-by-tranche basis, when it is probable an IPO will be achieved. Upon the IPO completion in August 2025, this performance condition is satisfied. The Company elects to recognize the effect of forfeitures in compensation cost when they occur. To the extent the required vesting conditions are not met resulting in the forfeiture of the share-based awards, previously recognized compensation expense relating to those awards is reversed.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awards granted prior to the IPO, the fair value of share-based awards is estimated on the grant date using the Binomial Option Pricing Model. For awards granted on or after the IPO date, the fair value of the underlying shares is determined based on the quoted market price on the grant date, and the pre-IPO valuation model assumptions are no longer applied.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 Employee benefits</w:t>
      </w:r>
    </w:p>
    <w:p>
      <w:pPr>
        <w:spacing w:after="0" w:line="229" w:lineRule="exact"/>
        <w:rPr>
          <w:sz w:val="20"/>
          <w:szCs w:val="20"/>
          <w:color w:val="auto"/>
        </w:rPr>
      </w:pPr>
    </w:p>
    <w:p>
      <w:pPr>
        <w:jc w:val="both"/>
        <w:ind w:firstLine="630"/>
        <w:spacing w:after="0" w:line="256" w:lineRule="auto"/>
        <w:rPr>
          <w:sz w:val="20"/>
          <w:szCs w:val="20"/>
          <w:color w:val="auto"/>
        </w:rPr>
      </w:pPr>
      <w:r>
        <w:rPr>
          <w:rFonts w:ascii="Times New Roman" w:cs="Times New Roman" w:eastAsia="Times New Roman" w:hAnsi="Times New Roman"/>
          <w:sz w:val="18"/>
          <w:szCs w:val="18"/>
          <w:color w:val="auto"/>
        </w:rPr>
        <w:t>The Company’s subsidiaries and VIEs and the VIEs’ subsidiaries in PRC participate in a government mandated, multiemployer, defined contribution plan, pursuant to which certain retirement, medical, housing and other welfare benefits are provided to employees. PRC labor laws require the entities incorporated in the PRC to pay to the local labor bureau a monthly contribution calculated at a stated contribution rate on the salaries of qualified employees. The Group has no further commitments beyond its monthly contribution. Employee social benefits included as expenses in the accompanying consolidated statements of comprehensive loss amounted to RMB 28,818, RMB22,431, and RMB20,495 (US$2,931) for the year ended December 31, 2023, 2024 and 2025,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 Income taxes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Group accounts for income taxes using the asset and liability method. Current income taxes are provided on the basis of income before income taxes for financial reporting purposes and adjusted for income and expense items which are not assessable or deductible for income tax purposes, in accordance with the regulations of the relevant tax jurisdictions. Under this method, deferred income tax assets and liabilities are recognized for the future tax consequences attributable to differences between the financial statement carrying amounts of existing assets and liabilities and their respective tax bases and for operating loss and tax credit carryforwards. Deferred tax assets and liabilities are measured using enacted tax laws and rates expected to apply to taxable income in the years in which those temporary differences are expected to be recovered or settled. A valuation allowance is provided to reduce the amount of deferred income tax assets if based on the weight of available evidence, it is more-likely-than-not that some portion, or all, of the deferred income tax assets will not be realized. The effect on deferred income taxes arising from a change in tax rates is recognized in the consolidated statements of comprehensive loss in the period of change.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Group applies a “more likely than not” recognition threshold in the evaluation of uncertain tax positions. The Group recognizes the benefit of a tax position in its consolidated financial statements if the tax position is “more likely than not” to prevail based on the facts and technical merits of the position. Tax positions that meet the “more likely than not” recognition threshold are measured at the largest amount of tax benefit that has a greater than fifty percent likelihood of being realized upon settlement. Unrecognized tax benefits may be affected by changes in interpretation of laws, rulings of tax authorities, tax audits, and expiry of statutory limitations. In addition, changes in facts, circumstances and new information may require the Group to adjust the recognition and measurement estimates with regard to individual tax positions. Accordingly, unrecognized tax benefits are periodically reviewed and re-assessed. Adjustments, if required, are recorded in the Group’s consolidated financial statements in the period in which the change that necessities the adjustments occur. The ultimate outcome for a particular tax position may not be determined with certainty prior to the conclusion of a tax audit and, in certain circumstances, a tax appeal or litigation process. The Group records interest and penalties related to unrecognized tax benefits (if any) in interest expenses and general and administrative expenses, respectively. As of December 31, 2024 and 2025, the Group did not have any unrecognized uncertain tax positions.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 Leases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leases premise for offices under non-cancellable operating leases. Leases with rent provisions were recognized on a straight-line basis commencing with the beginning of the lease terms. There were no capital improvement funding and contingent rent in the lease agreements. The Group has no legal or contractual asset retirement obligations at the end of the lease terms.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operating lease liabilities are recognized upon lease commencement for operating leases based on the present value of lease payments over the lease terms. The operating lease right-of-use assets are initially measured at cost, which comprises the initial amount of the operating lease liability adjusted for lease payments made at or before the lease commencement date, plus any initial direct costs incurred less any lease incentives received. As the rate implicit in the lease cannot be readily determined, the incremental borrowing rate at the lease commencement date is used in determining the imputed interest and present value of lease payments. The incremental borrowing rate was determined using a portfolio approach based on the rate of interest that the Group would have to borrow an amount equal to the lease payments on a collateralized basis over a similar term. The Group recognizes the single lease cost on a straight-line basis over the remaining lease terms for operating leases. The Group elected the practical expedient of the short-term lease exemption for contracts with lease terms of 12 months or less.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Provisions for reinstatement obligations associated with leases are recognized when the Group has a present obligation to restore leased premises and the cost can be reasonably estimated. Such costs are included in the initial measurement of the related right-of-use assets and subsequently accreted over the lease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 Foreign currency translation and foreign currency risks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Group’s reporting currency is RMB. The functional currency of the Company and its subsidiaries incorporated at Cayman Islands and Hong Kong S.A.R. is the US$. The functional currency of the Company’s PRC subsidiaries, VIEs and the VIEs’ subsidiaries is RMB.</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Transactions denominated in currencies other than the functional currency are remeasured into the functional currency at the exchange rates prevailing at the dates of the transactions. Monetary assets and liabilities denominated in a foreign currency are remeasured into the functional currency using the applicable exchange rate at the balance sheet date. The resulted exchange differences are recorded as general and administrative expenses in the consolidated statements of comprehensive loss.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financial statements of the Company and its subsidiary incorporated at Hong Kong S.A.R. are translated from their functional currencies into RMB. Assets and liabilities are translated into RMB using the applicable exchange rates at the balance sheet date. Equity accounts other than earnings (deficits) generated in the current period are translated into RMB using the appropriate historical rates. Revenues, expenses, gains and losses are translated into RMB using the average exchange rates for the relevant period. The resulted foreign currency translation adjustments are recorded as a component of other comprehensive income (loss) in the consolidated statements of comprehensive loss, and the accumulated foreign currency translation adjustments are recorded as a component of accumulated other comprehensive income (loss) in the consolidated statements of changes in shareholders’ deficit.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RMB is not a freely convertible currency. The PRC State Administration for Foreign Exchange, under the authority of the PRC government, controls the conversion of RMB to foreign currencies. The value of the RMB is subject to changes of central government policies and international economic and political developments affecting supply and demand in the China foreign exchange trading system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 Accounts receivable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Accounts receivable are recorded at invoiced amounts, net of any allowance for expected credit losses. The Company evaluates the collectability of accounts receivable based on a combination of factors including historical experience, current economic conditions, customer creditworthiness, and the age of the receivables. The Company estimates expected credit losses using a probability-weighted model under ASC 326, Financial Instruments — Credit Losses, and records an allowance for credit losses in the same period as the related revenue is recognized. Receivables are written off when deemed uncollectible.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estimates expected credit losses on accounts receivable using the historical loss rate method in accordance with ASC 326, Financial Instruments — Credit Losses. The model considers historical write-off trends adjusted for current economic conditions and reasonable and supportable forecasts that may affect collectability.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Receivables are grouped based on shared risk characteristics age of receivable, and loss rates are applied to each aging category. The Company writes off receivables when it determines they are no longer collectible.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applies both individual and collective assessment approaches in estimating expected credit losses. Significant balances are assessed individually based on contractual terms, counterparty creditworthiness, and historical settlement patterns. The remaining balances are assessed collectively using a provision matrix based on historical loss experience, adjusted for current conditions and reasonable and supportable forecasts.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(aa) Other receivables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receivables primarily include receivables from online payment platforms, receivables on behalf of merchants, advances to third parties, staff advances, deposits, and other miscellaneous receivables arising in the ordinary course of business. These balances are recorded at amortized cost and are reviewed regularly for collectability.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Prepayments primarily represent advance payments for services and are recognized as expenses over the period in which the related services are received.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Contract acquisition costs represent incremental costs of obtaining customer contracts and are capitalized when recoverable and amortized on a systematic basis over the period of benefit, which is generally consistent with the underlying contract period or expected customer relationship period. The Company periodically evaluates these costs for impairment.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acquisition costs represent incremental costs of obtaining customer contracts and are capitalized and amortized over the period of benefit.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current assets primarily include receivables from online payment platforms, receivables on behalf of merchants, staff advances, deposits, advances to third parties, VAT recoverable, and other short-term balances arising in the ordinary course of business.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Financial assets included in other current assets are measured at amortized cost and are subject to an allowance for expected credit losses. These assets are expected to be realized within twelve months.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evaluates expected credit losses on other receivables using a methodology consistent with accounts receivable. Significant balances are assessed individually, while the remaining balances are assessed collectively based on shared risk characteristics and historical loss experience.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ind w:right="5840" w:firstLine="8"/>
        <w:spacing w:after="0" w:line="503" w:lineRule="auto"/>
        <w:tabs>
          <w:tab w:leader="none" w:pos="18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for credit losses</w:t>
      </w:r>
    </w:p>
    <w:p>
      <w:pPr>
        <w:ind w:left="660" w:right="42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estimates expected credit losses on financial assets measured at amortized cost using a methodology consistent with ASC 326. The Company applies both individual and collective assessment approaches:</w:t>
      </w:r>
    </w:p>
    <w:p>
      <w:pPr>
        <w:spacing w:after="0" w:line="1"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9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balances, including advances to third parties and platform-related receivables, are assessed individually based on contractual terms, counterparty creditworthiness, and historical settlement patterns.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balances are assessed collectively using a provision matrix based on historical loss experience, adjusted for current conditions and reasonable and supportable forecasts.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are written off when there is no reasonable expectation of recovery.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non-current assets primarily consist of security deposits and others. These assets are recorded at cost and are classified as non-current based on the expected timing of realization, which is greater than twelve months from the balance sheet date.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periodically reviews these assets for indicators of impairment in accordance with applicable guidance (e.g., ASC 360 for long-lived assets, ASC 350 for intangibles, ASC 326 for financial assets). If indicators of impairment are present, the Company evaluates recoverability by comparing the carrying amount to the estimated undiscounted future cash flows or fair value. An impairment loss is recorded if the carrying amount exceeds its recoverable value.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principally of cash and restricted cash, accounts receivable, amounts due from related parties, receivable from online platforms, receivables on behalf of merchants, staff advances and deposits included in prepayments and other current assets.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Concentration of customers and suppliers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revenues were derived from customers located in the PRC. No customer individually represents greater than 10% of total revenues of the Group for the years ended December 31, 2024 and 2025.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2023, 2024 and 2025, no single supplier represented greater than 10% of total purchases.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Convertible notes payable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Convertible notes payable are initially recognized at the proceeds received, net of issuance costs. Any difference between the principal amount and the initial carrying amount is recorded as a debt discount.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Subsequently, the notes are measured at amortized cost using the effective interest method, whereby interest expense is recognized over the term of the instrument to accrete the carrying amount to the principal amount at maturity.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evaluates embedded conversion features in convertible instruments to determine whether bifurcation as a derivative is required under ASC 815. If the embedded feature does not require separate accounting, the instrument is accounted for as a single liability.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Transaction costs directly attributable to the issuance of debt are recorded as a reduction of the carrying amount and amortized as part of interest expense over the term of the instrument.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 Financial liabilities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Financial liabilities primarily comprise short-term borrowings and other debt instruments. Financial liabilities are initially recognized at fair value and subsequently measured at amortized cost using the effective interest method, unless otherwise required.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is recognized over the term of the borrowing using the effective interest method. For instruments where contractual interest terms are not fully determined at initial recognition or reporting date, management applies judgment in estimating the effective interest rate based on available information.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Debt instruments that previously contained equity-linked features are reassessed upon modification. Where such features are removed, the instrument is accounted for as a financial liability going forward.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Borrowings are classified as current liabilities unless the Group has an unconditional right to defer settlement for at least twelve months after the reporting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modifications to the terms of financial liabilities are evaluated to determine whether they represent a substantial modification, and the accounting treatment is adjusted accordingly.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 Statutory reserves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the PRC Company Laws, the Group’s PRC subsidiaries, VIEs and the VIEs’ subsidiaries must make appropriations from their after-tax profits as determined under the generally accepted accounting principles in the PRC (“PRC GAAP”) to non-distributable reserve funds including statutory surplus fund and discretionary surplus fund. The appropriation to the statutory surplus fund must be 10% of the after-tax profits as determined under PRC GAAP. Appropriation is not required if the statutory surplus fund has reached 50% of the registered capital of the PRC companies. Appropriation to the discretionary surplus fund is made at the discretion of the PRC companies.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statutory surplus fund and discretionary surplus fund are restricted for use. They may only be applied to offset losses or increase the registered capital of the respective companies. These reserves are not allowed to be transferred to the Company by way of cash dividends, loans or advances, nor can they be distributed except for liquidation.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2024 and 2025, no appropriation was made to the statutory surplus fund and discretionary surplus fund by the Group’s PRC subsidiaries, VIEs and the VIEs’ subsidiaries as these PRC companies did not earn any after-tax profits as determined under PRC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 Loss per share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ordinary shareholders, considering the accretions of redemption feature related to the Company’s redeemable convertible preferred shares, by the weighted average number of ordinary shares during the period using the two-class method. Under the two-class method, any net income is allocated between ordinary shares and other participating securities based on their participating rights. Net losses are not allocated to other participating securities if based on their contractual terms they are not obligated to share the losses. Contingently issuable shares are included in the computation of basic earnings per share only when there is no circumstance under which those shares would not be issued.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as adjusted for the effect of dilutive ordinary equivalent shares, if any, by the weighted average number of ordinary and dilutive ordinary equivalent shares outstanding during the period. Ordinary equivalent shares consist of ordinary shares issuable upon the conversion of the preferred shares, using the if-converted method, and financial liabilities using the if-converted method, and shares issuable upon the exercise of share options using the treasury stock method. Ordinary equivalent shares are not included in the denominator of the diluted loss per share calculation when inclusion of such share would be anti-dilutive.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 Segment reporting</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Group uses the management approach in determining its operating segments 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Group’s chief operating decision maker (“CODM”) has been identified as the Chief Executive Officer, who reviews consolidated results when making decisions about allocating resources and assessing performance of the Group. For the purpose of internal reporting and management’s operation review, the Group’s Chief Executive Officer does not segregate the Group’s business by service lines. The Company operates as a single operating and reportable segment, as it offers a unified set of products and services primarily related to the provision of digital agricultural transaction services. The CODM evaluates the Group’s performance and makes resource allocation decisions based on consolidated results. The Group’s operations are managed as a single operating segment as the Group offers an integrated suite of digital agricultural services and the CODM does not review discrete financial information by product or service lines. Accordingly, the Group has one operating and reportable segment. Substantially all of the Group’s revenues are derived from customers located in the People’s Republic of China (“PRC”), and all of the Group’s long-lived assets are located in the PRC.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 Investments in equity investees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investments in equity investees include investments in entities over which the Company has significant influence and investments in equity securities in which the Company does not have a controlling financial interest.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Investments in entities over which the Company has significant influence but does not have control are accounted for using the equity method of accounting. Under the equity method, the investment is initially recorded at cost and subsequently adjusted to recognize the Company’s proportionate share of the investee’s net earnings or losses, as well as dividends received. The Company evaluates its equity method investments for impairment whenever events or changes in circumstances indicate that the carrying amount of the investment may not be recoverable.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equity investments in which the Company does not have significant influence and for which a readily determinable fair value is not available, the Company applies the measurement alternative to measure the investments at cost, less impairment, adjusted for observable price changes in orderly transactions for identical or similar investments of the same issuer. The Company assesses such investments for impairment based on a qualitative assessment of whether indicators of impairment exist.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discontinues the application of the equity method when its investment is reduced to zero and no additional financial support or obligations to the investee exist. Subsequent losses are recognized only to the extent that the Company has incurred obligations or made payments on behalf of the investee.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investments in equity investees are not material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 Related parties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Parties, which can be a corporation or individual, are considered to be related if the Company has the ability, directly or indirectly, to control the other party or exercise significant influence over the other part in making financial and operating decisions. Companies are also considered to be related if they are subject to common control or common significant influence, such as a family member or relative, shareholder, or are related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 Recent accounting pronouncements</w:t>
      </w:r>
    </w:p>
    <w:p>
      <w:pPr>
        <w:spacing w:after="0" w:line="229" w:lineRule="exact"/>
        <w:rPr>
          <w:sz w:val="20"/>
          <w:szCs w:val="20"/>
          <w:color w:val="auto"/>
        </w:rPr>
      </w:pPr>
    </w:p>
    <w:p>
      <w:pPr>
        <w:jc w:val="both"/>
        <w:ind w:firstLine="630"/>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 (Subtopic 220-40): Disaggregation of Income Statement Expenses.” This pronouncement introduces new disclosure requirements aimed at enhancing transparency in financial reporting by requiring disaggregation of specific income statement expense captions. Under the new guidance, entities are required to disclose a breakdown of certain expense categories, such as: employee compensation; depreciation; amortization, and other material components. The disaggregated information can be presented either on the face of the income statement or in the notes to the financial statements, often using a tabular format. The ASU is effective for fiscal years beginning after December 15, 2025, and interim periods within those fiscal years. Early adoption is permitted. The Company is currently evaluating these new disclosure requirements and does not expect the adoption to have a material impact.</w:t>
      </w:r>
    </w:p>
    <w:p>
      <w:pPr>
        <w:spacing w:after="0" w:line="189" w:lineRule="exact"/>
        <w:rPr>
          <w:sz w:val="20"/>
          <w:szCs w:val="20"/>
          <w:color w:val="auto"/>
        </w:rPr>
      </w:pPr>
    </w:p>
    <w:p>
      <w:pPr>
        <w:jc w:val="both"/>
        <w:ind w:firstLine="630"/>
        <w:spacing w:after="0" w:line="261" w:lineRule="auto"/>
        <w:rPr>
          <w:sz w:val="20"/>
          <w:szCs w:val="20"/>
          <w:color w:val="auto"/>
        </w:rPr>
      </w:pPr>
      <w:r>
        <w:rPr>
          <w:rFonts w:ascii="Times New Roman" w:cs="Times New Roman" w:eastAsia="Times New Roman" w:hAnsi="Times New Roman"/>
          <w:sz w:val="18"/>
          <w:szCs w:val="18"/>
          <w:color w:val="auto"/>
        </w:rPr>
        <w:t>In January 2025, the FASB issued ASU 2025-01, which revises the effective date of ASU 2024-03 (on disclosures about disaggregation of income statement expenses) “to clarify that all public business entities are required to adopt the guidance in annual reporting periods beginning after December 15, 2026, and interim periods within annual reporting periods beginning after December 15, 2027.” Entities within the ASU’s scope are permitted to early adopt the ASU. The Company is currently evaluating these new disclosure requirements and does not expect the adoption to have a material impact.</w:t>
      </w:r>
    </w:p>
    <w:p>
      <w:pPr>
        <w:spacing w:after="0" w:line="180" w:lineRule="exact"/>
        <w:rPr>
          <w:sz w:val="20"/>
          <w:szCs w:val="20"/>
          <w:color w:val="auto"/>
        </w:rPr>
      </w:pPr>
    </w:p>
    <w:p>
      <w:pPr>
        <w:jc w:val="both"/>
        <w:ind w:firstLine="630"/>
        <w:spacing w:after="0" w:line="258" w:lineRule="auto"/>
        <w:rPr>
          <w:sz w:val="20"/>
          <w:szCs w:val="20"/>
          <w:color w:val="auto"/>
        </w:rPr>
      </w:pPr>
      <w:r>
        <w:rPr>
          <w:rFonts w:ascii="Times New Roman" w:cs="Times New Roman" w:eastAsia="Times New Roman" w:hAnsi="Times New Roman"/>
          <w:sz w:val="18"/>
          <w:szCs w:val="18"/>
          <w:color w:val="auto"/>
        </w:rPr>
        <w:t>In January 2025, the FASB issued ASU 2025-01, “Income Statement – Comprehensive Income – Expense Disaggregation Disclosure (Subtopic 220-40): Clarifying the Effective Date.” This pronouncement revises the effective date of ASU 2024-03 and clarify that all public business entities are required to adopt the guidance in annual reporting periods beginning after December 15, 2026, and interim periods within annual reporting periods beginning after December 15, 2027. Entities within the ASU’s scope are permitted to early adopt the accounting standard update. The Company is currently evaluating these new disclosure requirements and does not expect the adoption to have a material impact.</w:t>
      </w:r>
    </w:p>
    <w:p>
      <w:pPr>
        <w:spacing w:after="0" w:line="183" w:lineRule="exact"/>
        <w:rPr>
          <w:sz w:val="20"/>
          <w:szCs w:val="20"/>
          <w:color w:val="auto"/>
        </w:rPr>
      </w:pPr>
    </w:p>
    <w:p>
      <w:pPr>
        <w:jc w:val="both"/>
        <w:ind w:firstLine="630"/>
        <w:spacing w:after="0" w:line="256" w:lineRule="auto"/>
        <w:rPr>
          <w:sz w:val="20"/>
          <w:szCs w:val="20"/>
          <w:color w:val="auto"/>
        </w:rPr>
      </w:pPr>
      <w:r>
        <w:rPr>
          <w:rFonts w:ascii="Times New Roman" w:cs="Times New Roman" w:eastAsia="Times New Roman" w:hAnsi="Times New Roman"/>
          <w:sz w:val="18"/>
          <w:szCs w:val="18"/>
          <w:color w:val="auto"/>
        </w:rPr>
        <w:t>In May 2025, the FASB issued ASU 2025-03, Business Combinations (Topic 805) and Consolidation (Topic 810): Determining the Accounting Acquirer in the Acquisition of a Variable Interest Entity. The ASU requires entities to apply the existing acquirer determination guidance in ASC 805-10-55-12 through 55-15 when a business combination is effected primarily by exchanging equity interests and the legal acquiree is a VIE that meets the definition of a business, rather than automatically designating the primary beneficiary as the accounting acquirer. The ASU is effective for annual reporting periods beginning after December 15, 2026, and interim periods within those annual reporting periods. Early adoption is permitted. The amendments will be applied prospectively. The Company is currently evaluating the impact of this ASU on its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630"/>
        <w:spacing w:after="0" w:line="254" w:lineRule="auto"/>
        <w:rPr>
          <w:sz w:val="20"/>
          <w:szCs w:val="20"/>
          <w:color w:val="auto"/>
        </w:rPr>
      </w:pPr>
      <w:r>
        <w:rPr>
          <w:rFonts w:ascii="Times New Roman" w:cs="Times New Roman" w:eastAsia="Times New Roman" w:hAnsi="Times New Roman"/>
          <w:sz w:val="18"/>
          <w:szCs w:val="18"/>
          <w:color w:val="auto"/>
        </w:rPr>
        <w:t>In July 2025, the FASB issued ASU 2025-05, which amends ASC 326-20 to provide a practical expedient for all entities which elect a practical expedient that assumes that current conditions as of the balance sheet date do not change for the remaining life of the asset in developing reasonable and supportable forecasts as part of estimating expected credit losses, and an accounting policy election for all entities, other than a public business entity, that elect the practical expedient related to the estimation of expected credit losses for current accounts receivable and current contract assets that arise from transactions accounted for under ASC 606. Under ASU 2025-05, an entity is required to disclose whether it has elected to use the practical expedient and, if so, whether it has also applied the accounting policy election. An entity that makes the accounting policy election is required to disclose the date through which subsequent cash collections are evaluated. ASU 2025-05 is effective for annual reporting periods beginning after December 15, 2025, and interim reporting periods within those annual reporting periods, with early adoption permitted. Entities should apply the new guidance prospectively. The Company is currently evaluating these new disclosure requirements and does not expect the adoption to have a material impact.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2025, the FASB issued ASU 2025-11, which is intended to improve the navigability of the guidance in ASC 270 and clarify when it applies. Under the amendments, an entity is subject to ASC 270 if it provides interim financial statements and notes in accordance with GAAP. The ASU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As the Board stated in the proposed guidance and reiterates in the ASU, the amendments are not intended to change the fundamental nature of interim reporting or expand or reduce current interim disclosure requirements. For public business entities, the amendments in ASU 2025-11 are effective for interim reporting periods within annual reporting periods beginning after December 15, 2027. For entities other than public business entities, for interim reporting periods within annual reporting periods beginning after December 15, 2028. Early adoption is permitted for all entities.</w:t>
      </w:r>
    </w:p>
    <w:p>
      <w:pPr>
        <w:sectPr>
          <w:pgSz w:w="11900" w:h="16838" w:orient="portrait"/>
          <w:cols w:equalWidth="0" w:num="1">
            <w:col w:w="11240"/>
          </w:cols>
          <w:pgMar w:left="320" w:top="333" w:right="339" w:bottom="1440" w:gutter="0" w:footer="0" w:header="0"/>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Allowance for credit losses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jc w:val="right"/>
        <w:ind w:right="1440"/>
        <w:spacing w:after="0"/>
        <w:rPr>
          <w:sz w:val="20"/>
          <w:szCs w:val="20"/>
          <w:color w:val="auto"/>
        </w:rPr>
      </w:pPr>
      <w:r>
        <w:rPr>
          <w:rFonts w:ascii="Times New Roman" w:cs="Times New Roman" w:eastAsia="Times New Roman" w:hAnsi="Times New Roman"/>
          <w:sz w:val="18"/>
          <w:szCs w:val="18"/>
          <w:color w:val="auto"/>
        </w:rPr>
        <w:t>The movement of the allowance for credit losses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1"/>
                <w:szCs w:val="21"/>
                <w:color w:val="auto"/>
              </w:rPr>
            </w:pPr>
          </w:p>
        </w:tc>
        <w:tc>
          <w:tcPr>
            <w:tcW w:w="154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60" w:type="dxa"/>
            <w:vAlign w:val="bottom"/>
            <w:gridSpan w:val="2"/>
          </w:tcPr>
          <w:p>
            <w:pPr>
              <w:spacing w:after="0"/>
              <w:rPr>
                <w:sz w:val="20"/>
                <w:szCs w:val="20"/>
                <w:color w:val="auto"/>
              </w:rPr>
            </w:pPr>
          </w:p>
        </w:tc>
      </w:tr>
      <w:tr>
        <w:trPr>
          <w:trHeight w:val="414"/>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973</w:t>
            </w:r>
          </w:p>
        </w:tc>
        <w:tc>
          <w:tcPr>
            <w:tcW w:w="2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24"/>
                <w:szCs w:val="24"/>
                <w:color w:val="auto"/>
              </w:rPr>
            </w:pPr>
          </w:p>
        </w:tc>
      </w:tr>
      <w:tr>
        <w:trPr>
          <w:trHeight w:val="255"/>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sectPr>
          <w:pgSz w:w="11900" w:h="16838" w:orient="portrait"/>
          <w:cols w:equalWidth="0" w:num="2">
            <w:col w:w="6600" w:space="720"/>
            <w:col w:w="392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32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54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8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RMB</w:t>
            </w: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gridSpan w:val="2"/>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r>
      <w:tr>
        <w:trPr>
          <w:trHeight w:val="250"/>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 off</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(276)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allowance for credit losses is estimated using the expected credit loss model in accordance with ASC 326.</w:t>
      </w:r>
    </w:p>
    <w:p>
      <w:pPr>
        <w:spacing w:after="0" w:line="225" w:lineRule="exact"/>
        <w:rPr>
          <w:sz w:val="20"/>
          <w:szCs w:val="20"/>
          <w:color w:val="auto"/>
        </w:rPr>
      </w:pPr>
    </w:p>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The increase in allowance in 2025 primarily reflects additional provisioning on certain aged receivables. Write-offs during the year mainly relate to balances that were previously provided for.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Management considers the allowance to be adequate based on historical experience, current conditions, and expected future economic factors.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ACCOUNTS RECEIVABLE, NET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firstLine="630"/>
        <w:spacing w:after="0" w:line="282" w:lineRule="auto"/>
        <w:rPr>
          <w:sz w:val="20"/>
          <w:szCs w:val="20"/>
          <w:color w:val="auto"/>
        </w:rPr>
      </w:pPr>
      <w:r>
        <w:rPr>
          <w:rFonts w:ascii="Times New Roman" w:cs="Times New Roman" w:eastAsia="Times New Roman" w:hAnsi="Times New Roman"/>
          <w:sz w:val="18"/>
          <w:szCs w:val="18"/>
          <w:color w:val="auto"/>
        </w:rPr>
        <w:t>The majority of accounts receivable balances as of December 31, 2025 are within short aging periods and are generally settled within normal credit terms. The Company also considers subsequent collections in assessing recoverability of receivables.</w:t>
      </w:r>
    </w:p>
    <w:p>
      <w:pPr>
        <w:spacing w:after="0" w:line="162" w:lineRule="exact"/>
        <w:rPr>
          <w:sz w:val="20"/>
          <w:szCs w:val="20"/>
          <w:color w:val="auto"/>
        </w:rPr>
      </w:pPr>
    </w:p>
    <w:p>
      <w:pPr>
        <w:ind w:firstLine="630"/>
        <w:spacing w:after="0" w:line="282" w:lineRule="auto"/>
        <w:rPr>
          <w:sz w:val="20"/>
          <w:szCs w:val="20"/>
          <w:color w:val="auto"/>
        </w:rPr>
      </w:pPr>
      <w:r>
        <w:rPr>
          <w:rFonts w:ascii="Times New Roman" w:cs="Times New Roman" w:eastAsia="Times New Roman" w:hAnsi="Times New Roman"/>
          <w:sz w:val="18"/>
          <w:szCs w:val="18"/>
          <w:color w:val="auto"/>
        </w:rPr>
        <w:t>No significant concentration of credit risk was identified, as the Group’s customers are primarily diversified across different regions and industries, including government-related entities and commercial customers.</w:t>
      </w:r>
    </w:p>
    <w:p>
      <w:pPr>
        <w:spacing w:after="0" w:line="158" w:lineRule="exact"/>
        <w:rPr>
          <w:sz w:val="20"/>
          <w:szCs w:val="20"/>
          <w:color w:val="auto"/>
        </w:rPr>
      </w:pPr>
    </w:p>
    <w:p>
      <w:pPr>
        <w:ind w:left="660" w:right="5940" w:hanging="652"/>
        <w:spacing w:after="0" w:line="500" w:lineRule="auto"/>
        <w:tabs>
          <w:tab w:leader="none" w:pos="192"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PREPAYMENTS AND OTHER CURRENT ASSETS </w:t>
      </w:r>
      <w:r>
        <w:rPr>
          <w:rFonts w:ascii="Times New Roman" w:cs="Times New Roman" w:eastAsia="Times New Roman" w:hAnsi="Times New Roman"/>
          <w:sz w:val="18"/>
          <w:szCs w:val="18"/>
          <w:color w:val="auto"/>
        </w:rPr>
        <w:t>Prepayments and other current assets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20"/>
                <w:szCs w:val="20"/>
                <w:color w:val="auto"/>
              </w:rPr>
            </w:pPr>
          </w:p>
        </w:tc>
        <w:tc>
          <w:tcPr>
            <w:tcW w:w="154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RMB</w:t>
            </w: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online payment platforms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12,215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17,779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Receivables on behalf of merchants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9,077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7,296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IPO cost*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10,751</w:t>
            </w:r>
          </w:p>
        </w:tc>
        <w:tc>
          <w:tcPr>
            <w:tcW w:w="1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Staff advances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1,962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acquisition costs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10,160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Deposit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9,273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9,321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1,334</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(9,797)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(10,141)</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(1,450)</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 net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40,040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Prepayments and other current assets primarily include:</w:t>
      </w:r>
    </w:p>
    <w:p>
      <w:pPr>
        <w:spacing w:after="0" w:line="225" w:lineRule="exact"/>
        <w:rPr>
          <w:sz w:val="20"/>
          <w:szCs w:val="20"/>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from online payment platforms and merchants arising from the Company’s transaction processing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to third parties for project development and operational purposes;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advances provided in the ordinary course of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acquisition costs, representing incremental costs of obtaining customer contracts;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refundable deposits with third parties;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short-term balances expected to be realized within twelve months.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Advances to third parties are primarily made in connection with project development and operational arrangements in the ordinary course of business and are expected to be recovered through settlement mechanisms in accordance with underlying agreements or ongoing business activities.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Staff advances represent amounts provided to employees for business-related expenditures and are generally short-term in nature. These balances are typically settled or expensed upon submission of supporting documentation.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Receivables from online payment platforms and merchants arise from the Company’s transaction processing activities and are generally settled within a short period on a net basis as part of normal platform settlement cycles.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Group regularly monitors these balances and assesses recoverability based on contractual terms, historical settlement patterns, counterparty creditworthiness, and subsequent collections.</w:t>
      </w:r>
    </w:p>
    <w:p>
      <w:pPr>
        <w:spacing w:after="0" w:line="162" w:lineRule="exact"/>
        <w:rPr>
          <w:sz w:val="20"/>
          <w:szCs w:val="20"/>
          <w:color w:val="auto"/>
        </w:rPr>
      </w:pPr>
    </w:p>
    <w:p>
      <w:pPr>
        <w:jc w:val="both"/>
        <w:ind w:left="340" w:hanging="332"/>
        <w:spacing w:after="0" w:line="266" w:lineRule="auto"/>
        <w:tabs>
          <w:tab w:leader="none" w:pos="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 incurred by the Group attributable to its IPO of ordinary shares in the United States have been deferred and recorded as deferred IPO cost and will be offset against the gross proceeds received from such offering. On August 19, 2025, the Company completed its initial public offering (IPO) and was listed on Nasdaq.</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7" w:name="page188"/>
    <w:bookmarkEnd w:id="1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ind w:left="660" w:right="6080" w:hanging="652"/>
        <w:spacing w:after="0" w:line="500" w:lineRule="auto"/>
        <w:tabs>
          <w:tab w:leader="none" w:pos="192"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PREPAYMENTS AND OTHER CURRENT ASSETS </w:t>
      </w:r>
      <w:r>
        <w:rPr>
          <w:rFonts w:ascii="Times New Roman" w:cs="Times New Roman" w:eastAsia="Times New Roman" w:hAnsi="Times New Roman"/>
          <w:sz w:val="18"/>
          <w:szCs w:val="18"/>
          <w:color w:val="auto"/>
        </w:rPr>
        <w:t>(cont.)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movement of the allowance for credit losses is as follows:</w:t>
      </w:r>
    </w:p>
    <w:p>
      <w:pPr>
        <w:spacing w:after="0" w:line="2"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5715</wp:posOffset>
            </wp:positionV>
            <wp:extent cx="241744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7">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the beginning of the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4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19685</wp:posOffset>
            </wp:positionV>
            <wp:extent cx="241744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8">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0" w:lineRule="exact"/>
        <w:rPr>
          <w:sz w:val="20"/>
          <w:szCs w:val="20"/>
          <w:color w:val="auto"/>
        </w:rPr>
      </w:pPr>
    </w:p>
    <w:p>
      <w:pPr>
        <w:spacing w:after="0"/>
        <w:tabs>
          <w:tab w:leader="none" w:pos="1340" w:val="left"/>
          <w:tab w:leader="none" w:pos="2700" w:val="left"/>
        </w:tabs>
        <w:rPr>
          <w:sz w:val="20"/>
          <w:szCs w:val="20"/>
          <w:color w:val="auto"/>
        </w:rPr>
      </w:pPr>
      <w:r>
        <w:rPr>
          <w:rFonts w:ascii="Times New Roman" w:cs="Times New Roman" w:eastAsia="Times New Roman" w:hAnsi="Times New Roman"/>
          <w:sz w:val="18"/>
          <w:szCs w:val="18"/>
          <w:b w:val="1"/>
          <w:bCs w:val="1"/>
          <w:color w:val="auto"/>
        </w:rPr>
        <w:t>RMB</w:t>
      </w:r>
      <w:r>
        <w:rPr>
          <w:sz w:val="20"/>
          <w:szCs w:val="20"/>
          <w:color w:val="auto"/>
        </w:rPr>
        <w:tab/>
      </w:r>
      <w:r>
        <w:rPr>
          <w:rFonts w:ascii="Times New Roman" w:cs="Times New Roman" w:eastAsia="Times New Roman" w:hAnsi="Times New Roman"/>
          <w:sz w:val="18"/>
          <w:szCs w:val="18"/>
          <w:b w:val="1"/>
          <w:bCs w:val="1"/>
          <w:color w:val="auto"/>
        </w:rPr>
        <w:t>RMB</w:t>
      </w:r>
      <w:r>
        <w:rPr>
          <w:sz w:val="20"/>
          <w:szCs w:val="20"/>
          <w:color w:val="auto"/>
        </w:rPr>
        <w:tab/>
      </w:r>
      <w:r>
        <w:rPr>
          <w:rFonts w:ascii="Times New Roman" w:cs="Times New Roman" w:eastAsia="Times New Roman" w:hAnsi="Times New Roman"/>
          <w:sz w:val="18"/>
          <w:szCs w:val="18"/>
          <w:b w:val="1"/>
          <w:bCs w:val="1"/>
          <w:color w:val="auto"/>
        </w:rPr>
        <w:t>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19685</wp:posOffset>
            </wp:positionV>
            <wp:extent cx="241744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9">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36" w:lineRule="exact"/>
        <w:rPr>
          <w:sz w:val="20"/>
          <w:szCs w:val="20"/>
          <w:color w:val="auto"/>
        </w:rPr>
      </w:pPr>
    </w:p>
    <w:p>
      <w:pPr>
        <w:jc w:val="both"/>
        <w:ind w:left="380"/>
        <w:spacing w:after="0"/>
        <w:tabs>
          <w:tab w:leader="none" w:pos="1700" w:val="left"/>
          <w:tab w:leader="none" w:pos="3020" w:val="left"/>
        </w:tabs>
        <w:rPr>
          <w:sz w:val="20"/>
          <w:szCs w:val="20"/>
          <w:color w:val="auto"/>
        </w:rPr>
      </w:pPr>
      <w:r>
        <w:rPr>
          <w:rFonts w:ascii="Times New Roman" w:cs="Times New Roman" w:eastAsia="Times New Roman" w:hAnsi="Times New Roman"/>
          <w:sz w:val="18"/>
          <w:szCs w:val="18"/>
          <w:color w:val="auto"/>
        </w:rPr>
        <w:t>9,621</w:t>
      </w:r>
      <w:r>
        <w:rPr>
          <w:sz w:val="20"/>
          <w:szCs w:val="20"/>
          <w:color w:val="auto"/>
        </w:rPr>
        <w:tab/>
      </w:r>
      <w:r>
        <w:rPr>
          <w:rFonts w:ascii="Times New Roman" w:cs="Times New Roman" w:eastAsia="Times New Roman" w:hAnsi="Times New Roman"/>
          <w:sz w:val="18"/>
          <w:szCs w:val="18"/>
          <w:color w:val="auto"/>
        </w:rPr>
        <w:t>9,797</w:t>
      </w:r>
      <w:r>
        <w:rPr>
          <w:sz w:val="20"/>
          <w:szCs w:val="20"/>
          <w:color w:val="auto"/>
        </w:rPr>
        <w:tab/>
      </w:r>
      <w:r>
        <w:rPr>
          <w:rFonts w:ascii="Times New Roman" w:cs="Times New Roman" w:eastAsia="Times New Roman" w:hAnsi="Times New Roman"/>
          <w:sz w:val="18"/>
          <w:szCs w:val="18"/>
          <w:color w:val="auto"/>
        </w:rPr>
        <w:t>1,401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-119380</wp:posOffset>
            </wp:positionV>
            <wp:extent cx="71323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jc w:val="both"/>
        <w:ind w:left="500"/>
        <w:spacing w:after="0"/>
        <w:tabs>
          <w:tab w:leader="none" w:pos="1840" w:val="left"/>
          <w:tab w:leader="none" w:pos="326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8"/>
          <w:szCs w:val="18"/>
          <w:color w:val="auto"/>
        </w:rPr>
        <w:t>344</w:t>
      </w:r>
      <w:r>
        <w:rPr>
          <w:sz w:val="20"/>
          <w:szCs w:val="20"/>
          <w:color w:val="auto"/>
        </w:rPr>
        <w:tab/>
      </w: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14605</wp:posOffset>
            </wp:positionV>
            <wp:extent cx="713232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p>
      <w:pPr>
        <w:jc w:val="both"/>
        <w:ind w:left="380"/>
        <w:spacing w:after="0"/>
        <w:tabs>
          <w:tab w:leader="none" w:pos="1620" w:val="left"/>
          <w:tab w:leader="none" w:pos="3020" w:val="left"/>
        </w:tabs>
        <w:rPr>
          <w:sz w:val="20"/>
          <w:szCs w:val="20"/>
          <w:color w:val="auto"/>
        </w:rPr>
      </w:pPr>
      <w:r>
        <w:rPr>
          <w:rFonts w:ascii="Times New Roman" w:cs="Times New Roman" w:eastAsia="Times New Roman" w:hAnsi="Times New Roman"/>
          <w:sz w:val="18"/>
          <w:szCs w:val="18"/>
          <w:color w:val="auto"/>
        </w:rPr>
        <w:t>9,797</w:t>
      </w:r>
      <w:r>
        <w:rPr>
          <w:sz w:val="20"/>
          <w:szCs w:val="20"/>
          <w:color w:val="auto"/>
        </w:rPr>
        <w:tab/>
      </w:r>
      <w:r>
        <w:rPr>
          <w:rFonts w:ascii="Times New Roman" w:cs="Times New Roman" w:eastAsia="Times New Roman" w:hAnsi="Times New Roman"/>
          <w:sz w:val="18"/>
          <w:szCs w:val="18"/>
          <w:color w:val="auto"/>
        </w:rPr>
        <w:t>10,141</w:t>
      </w:r>
      <w:r>
        <w:rPr>
          <w:sz w:val="20"/>
          <w:szCs w:val="20"/>
          <w:color w:val="auto"/>
        </w:rPr>
        <w:tab/>
      </w:r>
      <w:r>
        <w:rPr>
          <w:rFonts w:ascii="Times New Roman" w:cs="Times New Roman" w:eastAsia="Times New Roman" w:hAnsi="Times New Roman"/>
          <w:sz w:val="18"/>
          <w:szCs w:val="18"/>
          <w:color w:val="auto"/>
        </w:rPr>
        <w:t>1,450</w:t>
      </w:r>
    </w:p>
    <w:p>
      <w:pPr>
        <w:spacing w:after="0" w:line="200" w:lineRule="exact"/>
        <w:rPr>
          <w:sz w:val="20"/>
          <w:szCs w:val="20"/>
          <w:color w:val="auto"/>
        </w:rPr>
      </w:pPr>
    </w:p>
    <w:p>
      <w:pPr>
        <w:sectPr>
          <w:pgSz w:w="11900" w:h="16838" w:orient="portrait"/>
          <w:cols w:equalWidth="0" w:num="2">
            <w:col w:w="6960" w:space="720"/>
            <w:col w:w="3560"/>
          </w:cols>
          <w:pgMar w:left="320" w:top="333" w:right="339" w:bottom="144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estimates expected credit losses in accordance with ASC 326 using both individual and collective assessment approaches.</w:t>
      </w:r>
    </w:p>
    <w:p>
      <w:pPr>
        <w:spacing w:after="0" w:line="225" w:lineRule="exact"/>
        <w:rPr>
          <w:sz w:val="20"/>
          <w:szCs w:val="20"/>
          <w:color w:val="auto"/>
        </w:rPr>
      </w:pPr>
    </w:p>
    <w:p>
      <w:pPr>
        <w:ind w:firstLine="630"/>
        <w:spacing w:after="0" w:line="282" w:lineRule="auto"/>
        <w:rPr>
          <w:sz w:val="20"/>
          <w:szCs w:val="20"/>
          <w:color w:val="auto"/>
        </w:rPr>
      </w:pPr>
      <w:r>
        <w:rPr>
          <w:rFonts w:ascii="Times New Roman" w:cs="Times New Roman" w:eastAsia="Times New Roman" w:hAnsi="Times New Roman"/>
          <w:sz w:val="18"/>
          <w:szCs w:val="18"/>
          <w:color w:val="auto"/>
        </w:rPr>
        <w:t>Significant balances, including advances to third parties and platform-related receivables, are assessed individually based on contractual arrangements, counterparty creditworthiness, historical settlement patterns, and subsequent collections.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remaining balances are grouped based on shared risk characteristics and assessed collectively using a provision matrix based on historical loss experience, adjusted for current conditions and reasonable and supportable forecasts.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Forward-looking information, including macroeconomic and industry-specific factors, is considered in the assessment, although such adjustments did not have a material impact on the overall allowance during the reporting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are written off when there is no reasonable expectation of recovery.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believes that the allowance for credit losses is adequate as of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Property, plant and equipment primarily consist of leasehold improvements and office equipment used in the Group’s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2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49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9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9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20"/>
                <w:szCs w:val="20"/>
                <w:color w:val="auto"/>
              </w:rPr>
            </w:pPr>
          </w:p>
        </w:tc>
        <w:tc>
          <w:tcPr>
            <w:tcW w:w="154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RMB</w:t>
            </w: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r>
      <w:tr>
        <w:trPr>
          <w:trHeight w:val="216"/>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3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others</w:t>
            </w:r>
          </w:p>
        </w:tc>
        <w:tc>
          <w:tcPr>
            <w:tcW w:w="38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579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5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8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5,067</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w:t>
            </w:r>
          </w:p>
        </w:tc>
      </w:tr>
      <w:tr>
        <w:trPr>
          <w:trHeight w:val="203"/>
        </w:trPr>
        <w:tc>
          <w:tcPr>
            <w:tcW w:w="49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4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7,915</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8,547</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1,222</w:t>
            </w:r>
          </w:p>
        </w:tc>
        <w:tc>
          <w:tcPr>
            <w:tcW w:w="100" w:type="dxa"/>
            <w:vAlign w:val="bottom"/>
            <w:tcBorders>
              <w:top w:val="single" w:sz="8" w:color="CCEEFF"/>
            </w:tcBorders>
          </w:tcPr>
          <w:p>
            <w:pPr>
              <w:spacing w:after="0"/>
              <w:rPr>
                <w:sz w:val="17"/>
                <w:szCs w:val="17"/>
                <w:color w:val="auto"/>
              </w:rPr>
            </w:pPr>
          </w:p>
        </w:tc>
      </w:tr>
      <w:tr>
        <w:trPr>
          <w:trHeight w:val="25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(6,855)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(7,765)</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(1,110)</w:t>
            </w:r>
          </w:p>
        </w:tc>
      </w:tr>
      <w:tr>
        <w:trPr>
          <w:trHeight w:val="210"/>
        </w:trPr>
        <w:tc>
          <w:tcPr>
            <w:tcW w:w="49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1,060</w:t>
            </w: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782</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112</w:t>
            </w:r>
          </w:p>
        </w:tc>
        <w:tc>
          <w:tcPr>
            <w:tcW w:w="100" w:type="dxa"/>
            <w:vAlign w:val="bottom"/>
            <w:tcBorders>
              <w:top w:val="single" w:sz="8" w:color="CCEEFF"/>
            </w:tcBorders>
          </w:tcPr>
          <w:p>
            <w:pPr>
              <w:spacing w:after="0"/>
              <w:rPr>
                <w:sz w:val="18"/>
                <w:szCs w:val="18"/>
                <w:color w:val="auto"/>
              </w:rPr>
            </w:pPr>
          </w:p>
        </w:tc>
      </w:tr>
      <w:tr>
        <w:trPr>
          <w:trHeight w:val="655"/>
        </w:trPr>
        <w:tc>
          <w:tcPr>
            <w:tcW w:w="49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3"/>
          </w:tcPr>
          <w:p>
            <w:pPr>
              <w:jc w:val="right"/>
              <w:ind w:right="2900"/>
              <w:spacing w:after="0"/>
              <w:rPr>
                <w:sz w:val="20"/>
                <w:szCs w:val="20"/>
                <w:color w:val="auto"/>
              </w:rPr>
            </w:pPr>
            <w:r>
              <w:rPr>
                <w:rFonts w:ascii="Times New Roman" w:cs="Times New Roman" w:eastAsia="Times New Roman" w:hAnsi="Times New Roman"/>
                <w:sz w:val="18"/>
                <w:szCs w:val="18"/>
                <w:color w:val="auto"/>
              </w:rPr>
              <w:t>F-27</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type w:val="continuous"/>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PROPERTY AND EQUIPMENT, NET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expenses on property and equipment were allocated to the following expense items: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8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73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1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20"/>
                <w:szCs w:val="20"/>
                <w:color w:val="auto"/>
              </w:rPr>
            </w:pPr>
          </w:p>
        </w:tc>
        <w:tc>
          <w:tcPr>
            <w:tcW w:w="1540" w:type="dxa"/>
            <w:vAlign w:val="bottom"/>
            <w:tcBorders>
              <w:top w:val="single" w:sz="8" w:color="auto"/>
            </w:tcBorders>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RMB</w:t>
            </w: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gridSpan w:val="2"/>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depreciation expenses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1,454</w:t>
            </w: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1,094</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evaluates property, plant and equipment for impairment whenever events or changes in circumstances indicate that the carrying amount may not be recoverable.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2025, the Group identified impairment indicators due to operating losses and negative operating cash flows.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 assessment performed, management concluded that the carrying amount of PPE is recoverable and no impairment loss was recognized.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leases facilities under non-cancellable operating leases expiring on different dates. The terms of substantially all these leases are ranging from one year to three years. All the Group’s leases qualify as operating leases. Short-term leases (lease terms less than 12 months) are recognized as incurred.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 summary of supplemental information related to operating leases as of December 31, 2024 and 2025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1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20"/>
                <w:szCs w:val="20"/>
                <w:color w:val="auto"/>
              </w:rPr>
            </w:pPr>
          </w:p>
        </w:tc>
        <w:tc>
          <w:tcPr>
            <w:tcW w:w="15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RMB</w:t>
            </w: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r>
      <w:tr>
        <w:trPr>
          <w:trHeight w:val="216"/>
        </w:trPr>
        <w:tc>
          <w:tcPr>
            <w:tcW w:w="4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right-of-use assets</w:t>
            </w:r>
          </w:p>
        </w:tc>
        <w:tc>
          <w:tcPr>
            <w:tcW w:w="4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9,589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3,635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520</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5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4,961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r>
      <w:tr>
        <w:trPr>
          <w:trHeight w:val="25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4,042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41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lease liabilities</w:t>
            </w:r>
          </w:p>
        </w:tc>
        <w:tc>
          <w:tcPr>
            <w:tcW w:w="320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9,003</w:t>
            </w: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2,683</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384</w:t>
            </w:r>
          </w:p>
        </w:tc>
        <w:tc>
          <w:tcPr>
            <w:tcW w:w="100" w:type="dxa"/>
            <w:vAlign w:val="bottom"/>
            <w:tcBorders>
              <w:top w:val="single" w:sz="8" w:color="CCEEFF"/>
            </w:tcBorders>
          </w:tcPr>
          <w:p>
            <w:pPr>
              <w:spacing w:after="0"/>
              <w:rPr>
                <w:sz w:val="18"/>
                <w:szCs w:val="18"/>
                <w:color w:val="auto"/>
              </w:rPr>
            </w:pPr>
          </w:p>
        </w:tc>
      </w:tr>
      <w:tr>
        <w:trPr>
          <w:trHeight w:val="655"/>
        </w:trPr>
        <w:tc>
          <w:tcPr>
            <w:tcW w:w="41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3"/>
          </w:tcPr>
          <w:p>
            <w:pPr>
              <w:ind w:left="1340"/>
              <w:spacing w:after="0"/>
              <w:rPr>
                <w:sz w:val="20"/>
                <w:szCs w:val="20"/>
                <w:color w:val="auto"/>
              </w:rPr>
            </w:pPr>
            <w:r>
              <w:rPr>
                <w:rFonts w:ascii="Times New Roman" w:cs="Times New Roman" w:eastAsia="Times New Roman" w:hAnsi="Times New Roman"/>
                <w:sz w:val="18"/>
                <w:szCs w:val="18"/>
                <w:color w:val="auto"/>
              </w:rPr>
              <w:t>F-28</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ind w:left="180" w:hanging="172"/>
        <w:spacing w:after="0"/>
        <w:tabs>
          <w:tab w:leader="none" w:pos="18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as of December 31, 2024 and 2025 were 1.48 years and 1.13 years, and the weighted average discount rate of the operating leases were 4.09% and 3.57%, respectively.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determines lease liabilities using its incremental borrowing rate where the implicit rate is not readily determinable. The incremental borrowing rate is derived with reference to market-based benchmark rates, including loan prime rates, and adjusted for factors such as lease term and economic environment.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evaluates lease terms by considering contractual periods together with renewal or termination options when it is reasonably certain that such options will be exercised.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lease arrangements include changes in lease payments over the lease term. These changes are assessed to determine whether they represent lease modifications requiring reassessment under applicable accounting guidance.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components of lease cost were as follows:</w:t>
      </w:r>
    </w:p>
    <w:p>
      <w:pPr>
        <w:spacing w:after="0" w:line="221"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327469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2">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r>
      <w:tr>
        <w:trPr>
          <w:trHeight w:val="236"/>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 w:type="dxa"/>
            <w:vAlign w:val="bottom"/>
          </w:tcPr>
          <w:p>
            <w:pPr>
              <w:spacing w:after="0"/>
              <w:rPr>
                <w:sz w:val="20"/>
                <w:szCs w:val="20"/>
                <w:color w:val="auto"/>
              </w:rPr>
            </w:pPr>
          </w:p>
        </w:tc>
      </w:tr>
      <w:tr>
        <w:trPr>
          <w:trHeight w:val="41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Lease cost:</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6,087</w:t>
            </w:r>
          </w:p>
        </w:tc>
      </w:tr>
      <w:tr>
        <w:trPr>
          <w:trHeight w:val="26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2,170</w:t>
            </w:r>
          </w:p>
        </w:tc>
      </w:tr>
      <w:tr>
        <w:trPr>
          <w:trHeight w:val="25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8,257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(c) Maturities of operating lease liabilities as of December 31, 2025 was as follows: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80"/>
        <w:spacing w:after="0"/>
        <w:tabs>
          <w:tab w:leader="none" w:pos="236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240030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5">
                      <a:extLst>
                        <a:ext uri="{28A0092B-C50C-407E-A947-70E740481C1C}"/>
                      </a:extLst>
                    </a:blip>
                    <a:srcRect/>
                    <a:stretch>
                      <a:fillRect/>
                    </a:stretch>
                  </pic:blipFill>
                  <pic:spPr bwMode="auto">
                    <a:xfrm>
                      <a:off x="0" y="0"/>
                      <a:ext cx="2400300" cy="17145"/>
                    </a:xfrm>
                    <a:prstGeom prst="rect">
                      <a:avLst/>
                    </a:prstGeom>
                    <a:noFill/>
                  </pic:spPr>
                </pic:pic>
              </a:graphicData>
            </a:graphic>
          </wp:anchor>
        </w:drawing>
      </w:r>
    </w:p>
    <w:p>
      <w:pPr>
        <w:spacing w:after="0" w:line="30" w:lineRule="exact"/>
        <w:rPr>
          <w:sz w:val="20"/>
          <w:szCs w:val="20"/>
          <w:color w:val="auto"/>
        </w:rPr>
      </w:pPr>
    </w:p>
    <w:p>
      <w:pPr>
        <w:ind w:left="340"/>
        <w:spacing w:after="0"/>
        <w:tabs>
          <w:tab w:leader="none" w:pos="1660" w:val="left"/>
          <w:tab w:leader="none" w:pos="3020" w:val="left"/>
        </w:tabs>
        <w:rPr>
          <w:sz w:val="20"/>
          <w:szCs w:val="20"/>
          <w:color w:val="auto"/>
        </w:rPr>
      </w:pPr>
      <w:r>
        <w:rPr>
          <w:rFonts w:ascii="Times New Roman" w:cs="Times New Roman" w:eastAsia="Times New Roman" w:hAnsi="Times New Roman"/>
          <w:sz w:val="18"/>
          <w:szCs w:val="18"/>
          <w:b w:val="1"/>
          <w:bCs w:val="1"/>
          <w:color w:val="auto"/>
        </w:rPr>
        <w:t>RMB</w:t>
      </w:r>
      <w:r>
        <w:rPr>
          <w:sz w:val="20"/>
          <w:szCs w:val="20"/>
          <w:color w:val="auto"/>
        </w:rPr>
        <w:tab/>
      </w:r>
      <w:r>
        <w:rPr>
          <w:rFonts w:ascii="Times New Roman" w:cs="Times New Roman" w:eastAsia="Times New Roman" w:hAnsi="Times New Roman"/>
          <w:sz w:val="18"/>
          <w:szCs w:val="18"/>
          <w:b w:val="1"/>
          <w:bCs w:val="1"/>
          <w:color w:val="auto"/>
        </w:rPr>
        <w:t>RMB</w:t>
      </w:r>
      <w:r>
        <w:rPr>
          <w:sz w:val="20"/>
          <w:szCs w:val="20"/>
          <w:color w:val="auto"/>
        </w:rPr>
        <w:tab/>
      </w:r>
      <w:r>
        <w:rPr>
          <w:rFonts w:ascii="Times New Roman" w:cs="Times New Roman" w:eastAsia="Times New Roman" w:hAnsi="Times New Roman"/>
          <w:sz w:val="18"/>
          <w:szCs w:val="18"/>
          <w:b w:val="1"/>
          <w:bCs w:val="1"/>
          <w:color w:val="auto"/>
        </w:rPr>
        <w:t>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240030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6">
                      <a:extLst>
                        <a:ext uri="{28A0092B-C50C-407E-A947-70E740481C1C}"/>
                      </a:extLst>
                    </a:blip>
                    <a:srcRect/>
                    <a:stretch>
                      <a:fillRect/>
                    </a:stretch>
                  </pic:blipFill>
                  <pic:spPr bwMode="auto">
                    <a:xfrm>
                      <a:off x="0" y="0"/>
                      <a:ext cx="240030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5,999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43"/>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r>
      <w:tr>
        <w:trPr>
          <w:trHeight w:val="243"/>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8,437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6,439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920</w:t>
            </w: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819"/>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p>
      <w:pPr>
        <w:jc w:val="center"/>
        <w:ind w:left="-859"/>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9" w:lineRule="exact"/>
        <w:rPr>
          <w:sz w:val="20"/>
          <w:szCs w:val="20"/>
          <w:color w:val="auto"/>
        </w:rPr>
      </w:pPr>
    </w:p>
    <w:p>
      <w:pPr>
        <w:sectPr>
          <w:pgSz w:w="11900" w:h="16838" w:orient="portrait"/>
          <w:cols w:equalWidth="0" w:num="2">
            <w:col w:w="7100" w:space="260"/>
            <w:col w:w="388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34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RMB</w:t>
            </w: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cashflows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obligations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obligations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Reinstatement obligations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Group may incur obligations to restore leased premises to their original condition upon expiration of the lease terms in accordance with the respective lease agreements. Such obligations are evaluated in accordance with applicable accounting guidance and recognized as a provision when a present obligation exists and the amount can be reasonably estimated. Where recognized, the estimated reinstatement costs are included in the measurement of the related right-of-use assets and are subsequently increased for the passage of time as an accretion expense.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 Group assessed such obligations and determined that any potential reinstatement costs are not material to the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90" w:name="page191"/>
    <w:bookmarkEnd w:id="1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NON-CURRENT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non-current assets consisted of the following:</w:t>
      </w:r>
    </w:p>
    <w:p>
      <w:pPr>
        <w:spacing w:after="0" w:line="221"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5715</wp:posOffset>
            </wp:positionV>
            <wp:extent cx="241744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8">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ectPr>
          <w:pgSz w:w="11900" w:h="16838" w:orient="portrait"/>
          <w:cols w:equalWidth="0" w:num="1">
            <w:col w:w="11240"/>
          </w:cols>
          <w:pgMar w:left="320" w:top="333" w:right="339" w:bottom="7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INVENTORY</w:t>
      </w:r>
    </w:p>
    <w:p>
      <w:pPr>
        <w:spacing w:after="0" w:line="229" w:lineRule="exact"/>
        <w:rPr>
          <w:sz w:val="20"/>
          <w:szCs w:val="20"/>
          <w:color w:val="auto"/>
        </w:rPr>
      </w:pPr>
    </w:p>
    <w:p>
      <w:pPr>
        <w:jc w:val="right"/>
        <w:ind w:right="328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400"/>
        <w:spacing w:after="0"/>
        <w:tabs>
          <w:tab w:leader="none" w:pos="24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241744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9">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0" w:lineRule="exact"/>
        <w:rPr>
          <w:sz w:val="20"/>
          <w:szCs w:val="20"/>
          <w:color w:val="auto"/>
        </w:rPr>
      </w:pPr>
    </w:p>
    <w:p>
      <w:pPr>
        <w:ind w:left="360"/>
        <w:spacing w:after="0"/>
        <w:tabs>
          <w:tab w:leader="none" w:pos="1700" w:val="left"/>
          <w:tab w:leader="none" w:pos="3060" w:val="left"/>
        </w:tabs>
        <w:rPr>
          <w:sz w:val="20"/>
          <w:szCs w:val="20"/>
          <w:color w:val="auto"/>
        </w:rPr>
      </w:pPr>
      <w:r>
        <w:rPr>
          <w:rFonts w:ascii="Times New Roman" w:cs="Times New Roman" w:eastAsia="Times New Roman" w:hAnsi="Times New Roman"/>
          <w:sz w:val="18"/>
          <w:szCs w:val="18"/>
          <w:b w:val="1"/>
          <w:bCs w:val="1"/>
          <w:color w:val="auto"/>
        </w:rPr>
        <w:t>RMB</w:t>
      </w:r>
      <w:r>
        <w:rPr>
          <w:sz w:val="20"/>
          <w:szCs w:val="20"/>
          <w:color w:val="auto"/>
        </w:rPr>
        <w:tab/>
      </w:r>
      <w:r>
        <w:rPr>
          <w:rFonts w:ascii="Times New Roman" w:cs="Times New Roman" w:eastAsia="Times New Roman" w:hAnsi="Times New Roman"/>
          <w:sz w:val="18"/>
          <w:szCs w:val="18"/>
          <w:b w:val="1"/>
          <w:bCs w:val="1"/>
          <w:color w:val="auto"/>
        </w:rPr>
        <w:t>RMB</w:t>
      </w:r>
      <w:r>
        <w:rPr>
          <w:sz w:val="20"/>
          <w:szCs w:val="20"/>
          <w:color w:val="auto"/>
        </w:rPr>
        <w:tab/>
      </w:r>
      <w:r>
        <w:rPr>
          <w:rFonts w:ascii="Times New Roman" w:cs="Times New Roman" w:eastAsia="Times New Roman" w:hAnsi="Times New Roman"/>
          <w:sz w:val="18"/>
          <w:szCs w:val="18"/>
          <w:b w:val="1"/>
          <w:bCs w:val="1"/>
          <w:color w:val="auto"/>
        </w:rPr>
        <w:t>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241744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0">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2,043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41"/>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2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-454025</wp:posOffset>
            </wp:positionV>
            <wp:extent cx="713232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-162560</wp:posOffset>
            </wp:positionV>
            <wp:extent cx="713232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sectPr>
          <w:pgSz w:w="11900" w:h="16838" w:orient="portrait"/>
          <w:cols w:equalWidth="0" w:num="2">
            <w:col w:w="6600" w:space="720"/>
            <w:col w:w="3920"/>
          </w:cols>
          <w:pgMar w:left="320" w:top="333" w:right="339" w:bottom="731"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320" w:type="dxa"/>
            <w:vAlign w:val="bottom"/>
          </w:tcPr>
          <w:p>
            <w:pPr>
              <w:spacing w:after="0"/>
              <w:rPr>
                <w:sz w:val="21"/>
                <w:szCs w:val="21"/>
                <w:color w:val="auto"/>
              </w:rPr>
            </w:pPr>
          </w:p>
        </w:tc>
        <w:tc>
          <w:tcPr>
            <w:tcW w:w="11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1"/>
                <w:szCs w:val="21"/>
                <w:color w:val="auto"/>
              </w:rPr>
            </w:pPr>
          </w:p>
        </w:tc>
        <w:tc>
          <w:tcPr>
            <w:tcW w:w="154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11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20"/>
                <w:szCs w:val="20"/>
                <w:color w:val="auto"/>
              </w:rPr>
            </w:pPr>
          </w:p>
        </w:tc>
        <w:tc>
          <w:tcPr>
            <w:tcW w:w="15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stocks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Fertilizer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1,507</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SHORT-TERM BORROWINGS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As of December 31, 2024 and 2025, short-term borrowings consisted of the following:</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320" w:type="dxa"/>
            <w:vAlign w:val="bottom"/>
          </w:tcPr>
          <w:p>
            <w:pPr>
              <w:spacing w:after="0"/>
              <w:rPr>
                <w:sz w:val="20"/>
                <w:szCs w:val="20"/>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11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20"/>
                <w:szCs w:val="20"/>
                <w:color w:val="auto"/>
              </w:rPr>
            </w:pPr>
          </w:p>
        </w:tc>
        <w:tc>
          <w:tcPr>
            <w:tcW w:w="15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Guangdong Yueken Microcredit Co., Ltd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Tianjin Jincheng Bank Co., Ltd.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Merchants Bank Co., Ltd. Beijing Branch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China CITIC Bank Loan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2024, Guangxi Yimutian Xinnong Technology Co., Ltd. (Guangxi Yimutian), a subsidiary of the WFOE, obtained a number of one-year loans in the aggregate amount of RMB5,000 from Guangdong Yueken Microcredit Co., Ltd bearing a simple interest of 12% per annum. In 2025, Guangxi Yimutian Xinnong Technology Co., Ltd. (Guangxi Yimutian), a subsidiary of the WFOE, obtained a number of one-year loans in the aggregate amount of RMB5,000 from Guangdong Yueken Microcredit Co., Ltd bearing a simple interest of 12% per annum. During 2025, Guangxi Yimutian fully repaid the outstanding RMB5,000 borrowings and obtained new one-year loans from the same lender with an aggregate principal amount of RMB7,000 at similar terms.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7, 2024, Yimutian Xinnong obtained a 12-month short-term credit bank borrowing from China CITIC Bank amounting to of RMB5,000 bearing interest of 3.55% per annum. In February 2025, Yimutian Xinnong repaid the China CITIC loan of RMB5,000. In 2025, Yimutian Xinnong new 12-month short-term credit bank borrowing from China CITIC Bank in amounts of RMB5,000 bearing interest of 3.1% per annum. The new borrowing from China CITIC Bank represents a renewal of the previous facility upon maturity.</w:t>
      </w:r>
    </w:p>
    <w:p>
      <w:pPr>
        <w:spacing w:after="0" w:line="180" w:lineRule="exact"/>
        <w:rPr>
          <w:sz w:val="20"/>
          <w:szCs w:val="20"/>
          <w:color w:val="auto"/>
        </w:rPr>
      </w:pPr>
    </w:p>
    <w:p>
      <w:pPr>
        <w:jc w:val="both"/>
        <w:ind w:firstLine="630"/>
        <w:spacing w:after="0" w:line="261" w:lineRule="auto"/>
        <w:rPr>
          <w:sz w:val="20"/>
          <w:szCs w:val="20"/>
          <w:color w:val="auto"/>
        </w:rPr>
      </w:pPr>
      <w:r>
        <w:rPr>
          <w:rFonts w:ascii="Times New Roman" w:cs="Times New Roman" w:eastAsia="Times New Roman" w:hAnsi="Times New Roman"/>
          <w:sz w:val="18"/>
          <w:szCs w:val="18"/>
          <w:color w:val="auto"/>
        </w:rPr>
        <w:t>In 2025, Yimutian Xinnong obtained a 12-month short-term credit bank borrowing from Tianjin Jincheng Bank Co., Ltd. amounting to RMB1,500 bearing interest of 14.4% per annum. As of December 31, 2025, Yimutian Xinnong repaid the loan of RMB1,125. In addition, during 2025, the Group obtained short-term borrowings from China Merchants Bank Co., Ltd., Beijing Branch, with an aggregate principal amount of RMB5,000. These borrowings are unsecured and bear interest at market rates.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borrowings are unsecured and are repayable within one year. The Group’s borrowings are primarily obtained from financial institutions and are subject to standard repayment terms and interest rates. Management monitors liquidity and funding requirements on an ongoing basis. No significant covenant breaches or defaults were identified during the reporting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731" w:gutter="0" w:footer="0" w:header="0"/>
          <w:type w:val="continuous"/>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ind w:left="640" w:right="5340" w:hanging="632"/>
        <w:spacing w:after="0" w:line="530" w:lineRule="auto"/>
        <w:tabs>
          <w:tab w:leader="none" w:pos="280" w:val="left"/>
        </w:tabs>
        <w:numPr>
          <w:ilvl w:val="0"/>
          <w:numId w:val="1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20"/>
                <w:szCs w:val="20"/>
                <w:color w:val="auto"/>
              </w:rPr>
            </w:pPr>
          </w:p>
        </w:tc>
        <w:tc>
          <w:tcPr>
            <w:tcW w:w="15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RMB</w:t>
            </w: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welfare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34,781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Deposits received from merchants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15,781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collected on behalf of merchants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Accrued IPO cost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12,382</w:t>
            </w:r>
          </w:p>
        </w:tc>
        <w:tc>
          <w:tcPr>
            <w:tcW w:w="15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and other surcharges payable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Selling Shareholder Transactions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transactions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18,917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10,665</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89,224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95,913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Accrued expenses and other current liabilities primarily comprise accrued payroll and welfare, merchant-related settlement balances, professional service fees, selling shareholder transaction payables, and other operating payables.</w:t>
      </w:r>
    </w:p>
    <w:p>
      <w:pPr>
        <w:spacing w:after="0" w:line="162" w:lineRule="exact"/>
        <w:rPr>
          <w:sz w:val="20"/>
          <w:szCs w:val="20"/>
          <w:color w:val="auto"/>
        </w:rPr>
      </w:pPr>
    </w:p>
    <w:p>
      <w:pPr>
        <w:jc w:val="both"/>
        <w:ind w:firstLine="630"/>
        <w:spacing w:after="0" w:line="258" w:lineRule="auto"/>
        <w:rPr>
          <w:sz w:val="20"/>
          <w:szCs w:val="20"/>
          <w:color w:val="auto"/>
        </w:rPr>
      </w:pPr>
      <w:r>
        <w:rPr>
          <w:rFonts w:ascii="Times New Roman" w:cs="Times New Roman" w:eastAsia="Times New Roman" w:hAnsi="Times New Roman"/>
          <w:sz w:val="18"/>
          <w:szCs w:val="18"/>
          <w:color w:val="auto"/>
        </w:rPr>
        <w:t>Deposits received from merchants represent refundable deposits collected from merchants participating in the Group’s platform services. Cash collected on behalf of merchants represents amounts collected through the Group’s platform settlement process that are payable to merchants or other transaction participants. These balances are generally settled in the ordinary course of platform operations. The Group acts as an agent in these transactions and does not recognize such amounts as revenue. These balances do not represent advance payments for services and are therefore not accounted for as contract liabilities under ASC 606.</w:t>
      </w:r>
    </w:p>
    <w:p>
      <w:pPr>
        <w:spacing w:after="0" w:line="183"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Selling shareholder transactions represent amounts payable in connection with secondary share transactions completed in connection with the Company’s capital market activities during the year. These balances are classified as liabilities as the Group has a contractual obligation to remit cash to the relevant counterparties and the transactions do not represent equity issuance by the Group.</w:t>
      </w:r>
    </w:p>
    <w:p>
      <w:pPr>
        <w:spacing w:after="0" w:line="176"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Third-party transactions primarily comprise amounts payable to external parties arising from business collaborations, operating arrangements, reimbursements, advances received, and other miscellaneous transactions. The Group assesses these balances based on the underlying transaction substance and classifies them as current liabilities when settlement is expected within twelve months.</w:t>
      </w:r>
    </w:p>
    <w:p>
      <w:pPr>
        <w:spacing w:after="0" w:line="176" w:lineRule="exact"/>
        <w:rPr>
          <w:sz w:val="20"/>
          <w:szCs w:val="20"/>
          <w:color w:val="auto"/>
        </w:rPr>
      </w:pPr>
    </w:p>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Professional fees primarily relate to legal, consulting, financial reporting, and other professional services incurred in connection with the Group’s business operations and capital market activities.</w:t>
      </w:r>
    </w:p>
    <w:p>
      <w:pPr>
        <w:spacing w:after="0" w:line="162"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Accrued IPO costs in 2024 represented direct costs incurred in connection with the Company’s initial public offering. Upon completion of the IPO in 2025, such costs were either offset against proceeds from the offering as equity issuance costs or expensed as incurred if they did not meet the criteria for capitalization, in accordance with US GAAP.</w:t>
      </w:r>
    </w:p>
    <w:p>
      <w:pPr>
        <w:spacing w:after="0" w:line="176" w:lineRule="exact"/>
        <w:rPr>
          <w:sz w:val="20"/>
          <w:szCs w:val="20"/>
          <w:color w:val="auto"/>
        </w:rPr>
      </w:pPr>
    </w:p>
    <w:p>
      <w:pPr>
        <w:jc w:val="both"/>
        <w:ind w:right="20" w:firstLine="630"/>
        <w:spacing w:after="0" w:line="282" w:lineRule="auto"/>
        <w:rPr>
          <w:sz w:val="20"/>
          <w:szCs w:val="20"/>
          <w:color w:val="auto"/>
        </w:rPr>
      </w:pPr>
      <w:r>
        <w:rPr>
          <w:rFonts w:ascii="Times New Roman" w:cs="Times New Roman" w:eastAsia="Times New Roman" w:hAnsi="Times New Roman"/>
          <w:sz w:val="18"/>
          <w:szCs w:val="18"/>
          <w:color w:val="auto"/>
        </w:rPr>
        <w:t>Management applies judgment in determining the classification of balances within accrued expenses and other current liabilities, including distinguishing between contract liabilities, deposits, and other payables based on the underlying contractual arrangements and substance of the transactions.</w:t>
      </w:r>
    </w:p>
    <w:p>
      <w:pPr>
        <w:spacing w:after="0" w:line="162" w:lineRule="exact"/>
        <w:rPr>
          <w:sz w:val="20"/>
          <w:szCs w:val="20"/>
          <w:color w:val="auto"/>
        </w:rPr>
      </w:pPr>
    </w:p>
    <w:p>
      <w:pPr>
        <w:jc w:val="both"/>
        <w:ind w:firstLine="630"/>
        <w:spacing w:after="0" w:line="261" w:lineRule="auto"/>
        <w:rPr>
          <w:sz w:val="20"/>
          <w:szCs w:val="20"/>
          <w:color w:val="auto"/>
        </w:rPr>
      </w:pPr>
      <w:r>
        <w:rPr>
          <w:rFonts w:ascii="Times New Roman" w:cs="Times New Roman" w:eastAsia="Times New Roman" w:hAnsi="Times New Roman"/>
          <w:sz w:val="18"/>
          <w:szCs w:val="18"/>
          <w:color w:val="auto"/>
        </w:rPr>
        <w:t>Certain balances, including cash collected on behalf of merchants, represent amounts held by the Group for third parties. These balances are presented gross, with a corresponding liability recorded within other payables. The Group presents such balances on a gross basis and does not offset cash and related liabilities unless the criteria for offsetting under US GAAP are met. Accordingly, these balances are presented as liabilities rather than revenue or contract liabilities.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FINANCIAL LIABILITIES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20"/>
                <w:szCs w:val="20"/>
                <w:color w:val="auto"/>
              </w:rPr>
            </w:pPr>
          </w:p>
        </w:tc>
        <w:tc>
          <w:tcPr>
            <w:tcW w:w="15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gridSpan w:val="2"/>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Exchangeable Notes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20,990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20,990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3,001</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4,518</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646</w:t>
            </w: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(559)</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Financial liabilities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20,990</w:t>
            </w: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24,949</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3,567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ind w:firstLine="630"/>
        <w:spacing w:after="0" w:line="256" w:lineRule="auto"/>
        <w:rPr>
          <w:sz w:val="20"/>
          <w:szCs w:val="20"/>
          <w:color w:val="auto"/>
        </w:rPr>
      </w:pPr>
      <w:r>
        <w:rPr>
          <w:rFonts w:ascii="Times New Roman" w:cs="Times New Roman" w:eastAsia="Times New Roman" w:hAnsi="Times New Roman"/>
          <w:sz w:val="18"/>
          <w:szCs w:val="18"/>
          <w:color w:val="auto"/>
        </w:rPr>
        <w:t>In September 2022, the Company entered into an exchangeable note agreement with Investor B. Pursuant to the agreement, the Company issued an exchangeable note of USD 2.8 million (equivalent to RMB 20,128) with a simple interest rate of 7% per annum to Investor B. The note entitled Investor B to convert the entire or part of the outstanding principal at 90% of the per share price into the same class of shares issued in the new round financing. The note was due one year after issuance, with extensions subject to mutual agreement. Interest on the note would be exempted upon conversion. In September 2024, the maturity date was further extended to September 8, 2025. Subsequently, the noteholder irrevocably waived all conversion rights associated with the note. As a result, the instrument no longer contains any equity-linked features and is accounted for as a financial liability.</w:t>
      </w:r>
    </w:p>
    <w:p>
      <w:pPr>
        <w:spacing w:after="0" w:line="187" w:lineRule="exact"/>
        <w:rPr>
          <w:sz w:val="20"/>
          <w:szCs w:val="20"/>
          <w:color w:val="auto"/>
        </w:rPr>
      </w:pPr>
    </w:p>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The Company and the noteholder have agreed that the principal amount will be repaid by June 30, 2027. The detailed repayment schedule and interest arrangements are subject to further negotiation and had not been finalized as of December 31, 2025.</w:t>
      </w:r>
    </w:p>
    <w:p>
      <w:pPr>
        <w:spacing w:after="0" w:line="162" w:lineRule="exact"/>
        <w:rPr>
          <w:sz w:val="20"/>
          <w:szCs w:val="20"/>
          <w:color w:val="auto"/>
        </w:rPr>
      </w:pPr>
    </w:p>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The Group also considered whether the absence of explicit interest terms gives rise to a significant financing component or requires imputation of interest under ASC 835-30, and concluded that any such impact would not be material to the consolidated financial statements.</w:t>
      </w:r>
    </w:p>
    <w:p>
      <w:pPr>
        <w:spacing w:after="0" w:line="162" w:lineRule="exact"/>
        <w:rPr>
          <w:sz w:val="20"/>
          <w:szCs w:val="20"/>
          <w:color w:val="auto"/>
        </w:rPr>
      </w:pPr>
    </w:p>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Management applied judgment in determining the appropriate measurement basis given the evolving terms of the arrangement and will reassess the measurement upon finalization of the repayment and interest terms.</w:t>
      </w:r>
    </w:p>
    <w:p>
      <w:pPr>
        <w:spacing w:after="0" w:line="162" w:lineRule="exact"/>
        <w:rPr>
          <w:sz w:val="20"/>
          <w:szCs w:val="20"/>
          <w:color w:val="auto"/>
        </w:rPr>
      </w:pPr>
    </w:p>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As of December 31, 2025, the note is measured at amortized cost. The carrying amount of the note, including accrued interest was RMB24,949 (US$3,567).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SHAREHOLDER LOANS, AT AMORTIZED COST</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6"/>
        </w:trPr>
        <w:tc>
          <w:tcPr>
            <w:tcW w:w="73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3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17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1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Borders>
              <w:top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Onshore Shareholder Loans (i)</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186,555</w:t>
            </w:r>
          </w:p>
        </w:tc>
        <w:tc>
          <w:tcPr>
            <w:tcW w:w="2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Shareholder Loans (ii)</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62,088</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66,404</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9,495</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 loans, at amortized cost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248,643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Onshore Shareholder Loans</w:t>
      </w:r>
    </w:p>
    <w:p>
      <w:pPr>
        <w:spacing w:after="0" w:line="14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onshore entities entered into shareholder loans agreements with certain preferred shareholders. These preferred shareholders subscribed the Company’s preferred shares and were entitled to all of the preferred shareholders’ rights. Prior to paying the consideration of preferred shares to the Company, they made shareholder loans to the Company’s onshore entities in the same amount of the consideration for preferred shares. Such shareholder loans are referred as “Onshore Shareholder Loans”.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2016, the Company issued 124,523,393 shares of Series C Redeemable Convertible Preferred Shares to an investor for US$5 million (equivalent to RMB30,634). One of the Company’s PRC onshore entities entered into a loan agreement with the investor in the amount of RMB30,634 bears no interest. The principal shall be due and payable at the earlier of the investor pays the consideration of preferred shares to the Company and 9 months after the issuance, which can be further extended upon mutual agreement between the Company and the investor. In 2023, the Company and the investor agreed to extend the maturity date of the loan, and the loan is due at the earlier of the investor pays the consideration of preferred shares to the Company and December 31, 2024. In 2024, the maturity date was further extended to December 31, 2025. In December 2023, the Company’s PRC onshore entities repaid RMB613 to the investor. As of December 31, 2024, the Company’s PRC onshore entities repaid RMB1,000 to the investor. The Company completed its IPO on August 19, 2025, and the preferred shares were converted into ordinary shares.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2018, the Company issued 154,278,293 shares of Series C-1 Redeemable Convertible Preferred Shares to an investor with the total amount of US$5.5 million (equivalent to RMB35,000). One of the Company’s PRC onshore entities entered into a loan agreement with the investor in the amount of RMB35,000 bears no interests. The principal shall be due and payable at the earlier of the investor pays the consideration of preferred shares to the Company and 23 months after the issuance, which can be further extended upon mutual agreement between the Company and the investor. In 2023, the Company and the investor agreed to extend the maturity date of the loan, and the loan is due at the earlier of the investor pays the consideration of preferred shares to the Company and December 31, 2024. In 2024, the maturity date was further extended to December 31, 2025. The Company completed its IPO on August 19, 2025, and the preferred shares were converted into ordinary shares.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Company issued 280,352,854 shares of Series B Redeemable Convertible Preferred Shares to an investor upon exercise of Series B ODI Convertible Loan (Note 11) with the total amount of US$20 million (equivalent to RMB122,534). As agreed with the investor, the Company’s PRC onshore entity shall repay the principal at the earlier of the following two dates: (1) July 31, 2025, and (2) five working days before the end of the lock-up period specified by applicable laws and regulations and exchange rules following the initial public offering. The Company completed its IPO on August 19, 2025, and the preferred shares were converted into ordinary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SHAREHOLDER LOANS, AT AMORTIZED COST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measured Onshore Shareholder Loans at amortized cost. Onshore Shareholder Loans activities for the years ended December 31, 2024 and 2025 are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45"/>
        </w:trPr>
        <w:tc>
          <w:tcPr>
            <w:tcW w:w="8680" w:type="dxa"/>
            <w:vAlign w:val="bottom"/>
          </w:tcPr>
          <w:p>
            <w:pPr>
              <w:spacing w:after="0"/>
              <w:rPr>
                <w:sz w:val="21"/>
                <w:szCs w:val="21"/>
                <w:color w:val="auto"/>
              </w:rPr>
            </w:pPr>
          </w:p>
        </w:tc>
        <w:tc>
          <w:tcPr>
            <w:tcW w:w="15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56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RMB</w:t>
            </w: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2024</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187,555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26,820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Repayment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186,555</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26,677</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Offset upon conversion of preferred shares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(186,555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(26,677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Other Shareholder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borrowed interest free loans from its Founder and certain investors.</w:t>
      </w:r>
    </w:p>
    <w:p>
      <w:pPr>
        <w:spacing w:after="0" w:line="14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principal of Series C ODI Convertible Loan issued by the Company’s onshore entity was RMB42,055 (Note 11). Upon the investor’s exercise of the warrant and the Company issued preferred shares to the investor, the Company’s onshore entity partially repaid Series C ODI Convertible loan of RMB27,027 and entered into a new interest free shareholder loan agreement with the investor in the amount of RMB15,028, which is due on demand. In 2023 and 2024, the Company’s onshore entity repaid RMB2,000 and RMB500 to the investor, respectively. The Company completed its IPO on August 19, 2025, and the preferred shares were converted into ordinary shares.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2021, the Group also borrowed interest free loans of RMB1,153 from its Founder and US$150 (equivalent to RMB1,053) from a preferred shareholder. In 2023, the Group borrowed interest free loans in the total amount of RMB14,203 from its Founder and repaid RMB4,580 to its Founder. Such loans are due on demand. In 2024, the Group borrowed interest free loans in the total amount of RMB28,322 from its Founder. As of December 31, 2025, the Group borrowed interest free loans in the total amount of RMB28,923 from its Founder and repaid RMB8,702 to its Founder.</w:t>
      </w:r>
    </w:p>
    <w:p>
      <w:pPr>
        <w:spacing w:after="0" w:line="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2023, the Group also borrowed interest free loans of RMB6,874 from an entities controlled by a preferred shareholder. The Group repaid RMB6,874 in 2024.</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Shareholder Loans activities for the years ended December 31, 2024 and 2025 are presented below:</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1"/>
        </w:trPr>
        <w:tc>
          <w:tcPr>
            <w:tcW w:w="868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216"/>
        </w:trPr>
        <w:tc>
          <w:tcPr>
            <w:tcW w:w="86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41,156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5,885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Borrowed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28,322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(7,374)</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(1,054)</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Borrowed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28,923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(8,702)</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Offset upon conversion of preferred shares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(15,880)</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(2,271)</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66,404</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9,495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borrowed interest-free loans from its Founder and certain investors, which are considered related parties. These loans are unsecured and contractually repayable on demand.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SHAREHOLDER LOANS, AT AMORTIZED COST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the loans are legally due on demand, in practice they have been extended periodically based on mutual agreement between the Group and the lenders.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considers these arrangements as part of ongoing funding support to the Group’s operations rather than short-term liquidity instruments.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evaluated the substance of these arrangements under US GAAP and concluded that the loans meet the definition of financial liabilities, as the Group has a contractual obligation to transfer cash upon demand by the lenders and no contractual terms indicate settlement through issuance of equity instruments.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also assessed whether the interest-free nature of these loans gives rise to a significant financing component under ASC 835-30. In performing this assessment, management considered:</w:t>
      </w:r>
    </w:p>
    <w:p>
      <w:pPr>
        <w:spacing w:after="0" w:line="162" w:lineRule="exact"/>
        <w:rPr>
          <w:sz w:val="20"/>
          <w:szCs w:val="20"/>
          <w:color w:val="auto"/>
        </w:rPr>
      </w:pPr>
    </w:p>
    <w:p>
      <w:pPr>
        <w:ind w:left="980" w:hanging="324"/>
        <w:spacing w:after="0"/>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nature of the loans;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pattern of extensions;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of repayment;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market interest rates for similar instruments.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this assessment, the Group determined that any imputed interest arising from discounting would not be material to the consolidated financial statements.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further evaluated whether the loans are, in substance, equity contributions due to their linkage with certain shareholder transactions. Management concluded that the loans do not represent equity contributions, as there are no agreements or terms that require or permit settlement through issuance of shares, and the lenders retain the right to demand repayment in cash.</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loans are presented as current liabilities given their contractual demand feature; however, the actual timing of settlement depends on the liquidity needs of the Group and the intentions of the lenders.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ACCOUNTS PAYABLE</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20"/>
                <w:szCs w:val="20"/>
                <w:color w:val="auto"/>
              </w:rPr>
            </w:pPr>
          </w:p>
        </w:tc>
        <w:tc>
          <w:tcPr>
            <w:tcW w:w="15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 Service Fee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4,245</w:t>
            </w:r>
          </w:p>
        </w:tc>
        <w:tc>
          <w:tcPr>
            <w:tcW w:w="13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3,772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w:t>
            </w:r>
          </w:p>
        </w:tc>
        <w:tc>
          <w:tcPr>
            <w:tcW w:w="13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1,441</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3"/>
              </w:rPr>
              <w:t>5,213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Accounts payable primarily consist of amounts due to third-party service providers, including cloud computing and data analytics service providers, as well as other operating payables arising in the ordinary course of business. These balances include amounts incurred for services received but not yet paid as of the balance sheet date.</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Certain service arrangements are based on usage or contractual service periods, and accordingly, accounts payable may include estimates of amounts due for services received but not yet invoiced or settled as of the reporting date. Payments made in advance for services to be received in future periods are recorded separately as prepayments.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CONTRACT LIABILITIES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Contract liabilities primarily represent advance payments received from customers for membership services, value-added services, and other services for which revenue has not yet been recognized. These balances are recognized as revenue when the Group satisfies the related performance obligations, in accordance with the revenue recognition policy described in Note 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20"/>
                <w:szCs w:val="20"/>
                <w:color w:val="auto"/>
              </w:rPr>
            </w:pPr>
          </w:p>
        </w:tc>
        <w:tc>
          <w:tcPr>
            <w:tcW w:w="15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RMB</w:t>
            </w: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 liabilities, current</w:t>
            </w: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Membership fee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55,708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50,676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Value-add service fee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9,642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project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Tian Bi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13,247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10,460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1,496</w:t>
            </w: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1,780</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contract liabilities, current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88,103</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75,718</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10,828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 liabilities, non-current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Membership fee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12,473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1,784</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Value-add service fee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 liabilities, non-current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Membership fee represents advance payments for subscription-based platform services, which are recognized as revenue over the subscription period as the customer simultaneously receives and consumes the benefits of the services.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is recognized either over time or at a point in time depending on the nature of the underlying services, as described in Note 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Value-added service fee represents advance payments for advertising, certification, and communication services. Revenue is recognized either over time or at a point in time depending on the nature of the service.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Government project represents advance payments related to government-sponsored service arrangements. Revenue is recognized upon completion of the agreed services and acceptance by the customer, or over time if the performance obligations are satisfied continuously.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Tian Bi represents a virtual currency purchased by members through prepayment, which can be used to acquire value-added services on the platform. Revenue is recognized when the virtual currency is consumed by customers or when the likelihood of redemption becomes remote, based on historical usage patterns.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Others represent other immaterial advance payments.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contract liabilities during the year was primarily attributable to the recognition of revenue from prior period advance payments as performance obligations were satisfied, partially offset by new customer prepayments.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applies judgment in estimating the timing of revenue recognition and assessing whether any portion of contract liabilities is subject to breakage.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acts as a principal in these arrangements and recognizes revenue on a gross basis.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contract liabilities during the year was primarily attributable to the recognition of revenue from prior period advance payments as performance obligations were satisfied, partially offset by new customer prepayments.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applies judgment in estimating the timing of revenue recognition and assessing whether any portion of contract liabilities is subject to breakage.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 CONVERTIBLE NOTES PAYABLE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As of December 31, 2024 and 2025, convertible debt consisted of the following: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2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216"/>
        </w:trPr>
        <w:tc>
          <w:tcPr>
            <w:tcW w:w="86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18,064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2,583</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18,449</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2,638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December 2025, the Company entered into a securities purchase agreement with an investor, pursuant to which the Company issued senior secured convertible notes with an aggregate principal amount of USD 3.37 million (equivalent to RMB 18,449).</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notes bear interest at a contractual rate of 10% per annum, payable monthly, and mature on December 8, 2026. The effective interest rate is higher than the stated coupon due to original issue discount and transaction costs.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received net proceeds of approximately USD 2.58 million after deduction of placement agent fees and other transaction costs. The difference between the principal amount and net proceeds is recorded as a debt discount and amortized to interest expense using the effective interest method over the term of the notes.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interest expense recognized in relation to the convertible notes includes: (i) contractual interest at the stated rate; and (ii) amortization of the debt discount.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outstanding principal amount of the convertible notes was RMB 18,449 as of December 31, 2025. The carrying amount reflects the principal amount net of unamortized debt discount and issuance costs, which management assessed to be not materially different from the principal amount as of December 31, 2025.</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above presents the movement of the convertible notes based on principal and interest recognized. The carrying amount of the notes is adjusted for unamortized discount and issuance costs.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evaluated the embedded conversion feature under ASC 815 and concluded that, although the feature meets the definition of a derivative and is not clearly and closely related to the host debt, it qualifies for the scope exception for contracts indexed to and settled in the Company’s own stock under ASC 815-40. Accordingly, the feature does not require bifurcation and is accounted for as part of the host debt instrument.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MEZZANINE EQUITY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August 19, 2025, the Company completed its initial public offering (IPO) and was listed on Nasdaq, all preferred shares were converted into Class A ordinary shares.</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Series A, Series B, Series C, Series C-1, Series C-2 and Series D redeemable convertible preferred shares (collectively “Redeemable Convertible Preferred Shares”)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Form May 2014 to December 2016, the Company entered into a series of share purchase agreements with certain investors, pursuant to which the Company issued 387,781,378 Series A redeemable convertible preferred shares (“Series A Preferred Shares”) for an aggregated cash consideration of US$3.5 million (equivalent to RMB21,593).</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February 2015 to April 2017, the Company entered into a series of share purchase agreements with certain investors, pursuant to which the Company issued 423,548,558 Series B redeemable convertible preferred shares (“Series B Preferred Shares”) for an aggregated consideration of US$34.1 million (equivalent to RMB213,329). In December 2023, the Company issued 280,352,854 Series B Preferred Shares upon the exercise of Series B ODI Convertible Loan held by an investor for an aggregated consideration of US$20 million (equivalent to RMB122,534). RMB134,455 and RMB134,455 was unpaid and recorded as subscription receivable as of December 31, 2023 and 2024,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 MEZZANINE EQUITY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From December 2016 to April 2017, the Company entered into a series of share purchase agreements with certain investors, pursuant to which the Company issued 517,022,352 Series C redeemable convertible preferred shares (“Series C Preferred Shares”) for an aggregated consideration of US$11 million, of which RMB30,021 and RMB29,026 was unpaid and recorded as subscription receivable as of December 31, 2023 and 2024, respectively.</w:t>
      </w:r>
    </w:p>
    <w:p>
      <w:pPr>
        <w:spacing w:after="0" w:line="40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February 2018, the Company entered into a series of share purchase agreement with a group of investors, pursuant to which the Company issued 357,323,044 Series C-1 redeemable convertible preferred shares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(“Series C-1 Preferred Shares”) for an aggregated consideration of US$15 million (equivalent to RMB94,608), of which RMB38,955 and RMB38,955 was unpaid and recorded as subscription receivable as of December 31, 2022 and 2023, respectively. In September 2019, an investor transferred 63,435,937 shares of Series C-1 Preferred Shares to another investor for an aggregated consideration of US$5 million (equivalent to RMB35,365), and the Company redesignated all transferred shares into a same number of Series C-2 Preferred Shares. The Company did not receive any proceeds from this transaction. The Company considered that the re-designation of Series C-1 Preferred Shares to Series C-2 Preferred Shares in substance, was the same as repurchase and cancellation of the Series C-1 Preferred Shares and simultaneously issuance of Series C-2 Preferred Shares. The difference between the fair value of Series C-2 and the carrying amount of the Series C-1 Preferred Shares was accounted for as deemed dividend to the preferred shareholder and recorded to accumulated deficit.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December 2018 to August 2020, the Company entered into a series of share purchase agreements with a group of investors, pursuant to which the Company issued 22,4881,374 Series C-2 redeemable convertible Preferred Shares (“Series C-2 Preferred Shares”) for an aggregated consideration of US$17.4 million (equivalent to RMB115,693).</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2021, the Company entered into a series of share purchase agreements with a group of investors, pursuant to which the Company issued 95,032,955 Series D redeemable convertible preferred shares (“Series D Preferred Shares”) for an aggregated consideration of US$15 million (equivalent to RMB106,825). In June 2021, the Company issued additional 287,192 Series D Preferred Shares for nil consideration to then existing Series D preferred shareholders. The Company treated it as deemed dividend to the shareholders of the Redeemable Convertible Preferred Shares.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October 2021, the Company entered into a share repurchase agreement with an investor, pursuant to which the Company repurchased 76,123,125 Series C Preferred Shares for an aggregated consideration of US$6,000 (equivalent to RMB38,633). The difference of RMB28,818 between the repurchase consideration over the carrying amount of RMB9,815 of the Series C Preferred Shares was accounted for as deemed dividends to the preferred shareholder and recorded to accumulated deficit. Upon the Company’s repurchase of Series C Preferred Shares, there was a subscription receivable from such investor in the amount of US$5,500 (equivalent to RMB35,483) in connection with the issuance of Series C-1 Preferred Shares. The Company and the investor entered into a supplemental agreement that US$5,500 (equivalent to RMB35,483) was offset between repurchase consideration payable and subscription receivable. The remaining repurchase consideration payable of US$500 (equivalent to RMB3,541 and RMB3,436, as of December 31, 2023 and 2024, respectively) was recorded in amount due to related parties.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Company issued 4,124,313 Series C-2 redeemable convertible preferred shares to existing Series C-2 Preferred shareholders for nil consideration and 2,435,067 Series D redeemable convertible preferred shares to existing Series D Preferred shareholders for nil consideration. Concurrently, issuance price per share of Series C-2 Preferred Shares and Series D Preferred Shares were amended accordingly, which resulted in the aggregated issuance price of each investor remained unchanged.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rights, preferences and privileges of the Series A Preferred Shares, Series B Preferred Shares, Series C Preferred Shares, Series C-1 Preferred Shares, Series C-2 Preferred Shares and Series D Preferred Shares are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 MEZZANINE EQUITY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Upon the issuance of Series D Preferred Shares on May 8, 2021, the redemption term of all Series A Preferred Shares, Series B Preferred Shares, Series C Preferred Shares, Series C-1 Preferred Shares, Series C-2 Preferred Shares were modified to be the same as Series D Preferred Shares, pursuant to which they were redeemable at the option of the shareholders of the respective series Preferred Shares in the event that (A) the Company fails to complete the qualified IPO or a trade sale in which the valuation of the Company is no less than US$800,000,000 before December 31, 2025 except that if the Company has submitted an application to competent Governmental Authorities for IPO filings prior to December 31, 2025 (including the submission of the IPO prospectus) but due to any material adverse legal, regulatory, market or policy changes of China in which case the Board of Directors decide to postpone the qualified IPO and the Trade Sale, the foregoing deadline for the qualified IPO and the trade sale shall be automatically postponed to December 31, 2026, (B) the validity or enforcement of the VIE agreements is materially and adversely affected due to change of any applicable Laws, as a consequence of which, the Company loses control over, or the ability to consolidate the financial statements, of direct or indirect subsidiaries and/or controlled entities, and there is no alternative arrangement under the applicable Laws for the Company to maintain or restore such control or ability, and</w:t>
      </w:r>
    </w:p>
    <w:p>
      <w:pPr>
        <w:spacing w:after="0" w:line="5" w:lineRule="exact"/>
        <w:rPr>
          <w:sz w:val="20"/>
          <w:szCs w:val="20"/>
          <w:color w:val="auto"/>
        </w:rPr>
      </w:pPr>
    </w:p>
    <w:p>
      <w:pPr>
        <w:jc w:val="both"/>
        <w:ind w:firstLine="8"/>
        <w:spacing w:after="0" w:line="253" w:lineRule="auto"/>
        <w:tabs>
          <w:tab w:leader="none" w:pos="28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of the transaction documents to which the holder(s) of respective series Preferred Shares are parties by the Group, the Founder, any ordinary shareholders and any ordinary shareholders holding Company prior to the qualified IPO, which results in substantial hurdle to the launch of the qualified IPO. The Company completed its IPO on August 19, 2025. Accordingly, the redemption event described above did not occur and the redemption rights expired upon the IPO.</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redemption preference from high priority to low priority is as follows in sequence: Series D Preferred Shares, Series C-2 Preferred Shares, Series C-1 Preferred Shares, Series C Preferred Shares and then the Series B Preferred Shares and Series A Preferred Shares as the same class.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Series D Preferred Shares, Series C-2 Preferred Shares, Series C-1 Preferred Shares, Series C Preferred Shares, Series B Preferred Shares and Series A Preferred Shares, the redemption price shall be one hundred percent (100%) of the respective issuance price, plus an eight percent (8%) compounded per annum return of the respective issuance price over the period from the respective closing date to the date of payment in full of the respective redemption price.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redeemable convertible preferred share shall be convertible, at the option of the shareholders, at any time after the issuance date of preferred shares according to a conversion ratio, subject to adjustments for dilution, including but not limited to stock splits and stock dividends. The conversion price shall initially be the applicable issuance price, resulting in an initial conversion ratio for the Redeemable Convertible Preferred Shares of 1:1.</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Redeemable Convertible Preferred Share shall be converted, based on the then-effective applicable conversion price, without the payment of any additional consideration, into ordinary shares in the event that (i) the closing of the IPO, or (ii) the date upon which the Company receives the written request from the majority respective series preferred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preferred shareholder shall be entitled to that number of votes corresponding to the number of ordinary shares on an as-converted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dividends or other distributions shall be declared, paid, set aside or made, whether in cash, in property, or in any other shares of the Company, with respect to any other class or series of shares of the Company, unless and until the dividends of preferred shares with higher priority of preference has been likewise declared, paid, set aside or made (calculated on an as-converted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any liquidation including deemed liquidation, dissolution or winding up of the Company, whether voluntary or involuntary, shareholders of Series D Preferred Shares, Series C-2 Preferred Shares, Series C-1 Preferred Shares, Series C Preferred Shares, Series B Preferred Shares and Series A Preferred Shares shall be entitled to receive an amount equal to one hundred percent (100%) of the applicable issuance price, plus all dividends declared and unpaid on such redeemable convertible preferred shares.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Liquidation preference is as follows in sequence: Series D Preferred Shares, Series C-2 Preferred Shares, Series C-1 Preferred Shares and Series C Preferred Shares, then the Series B Preferred Shares and Series A Preferred Shares as the same class.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 MEZZANINE EQUITY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there are any assets or funds remaining after the aggregate amount has been distributed or paid in full to the applicable holders of the Preferred Shares, the remaining assets and funds of the Company available for distribution shall be distributed ratably among all shareholders according to the relative number of the Shares held by such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Redeemable Convertible Preferred Shares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classified the redeemable convertible preferred shares as mezzanine equity as these preferred shares are redeemable upon the occurrence of an event not solely within the control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conversion option of the Redeemable Convertible Preferred Shares is not bifurcated because the conversion option is clearly and closely related to the host equity instrument. The contingent redemption option of the Redeemable Convertible Preferred Shares is not bifurcated because the underlying ordinary shares are not net settable since the Redeemable Convertible Preferred Shares were neither publicly traded nor readily convertible into cash.</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the initial carrying amount of the redeemable convertible preferred shares at the fair value at the date of issuance. The Company accreted the carrying value of the preferred shares to their maximum redemption price at the end of each reporting period. The change in redemption value is recorded against retained earnings, or in the absence of retained earnings, against additional paid-in capital (“APIC”). Once APIC has been exhausted, additional charges are recorded by increasing the accumulated deficit.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the Preferred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assesses whether an amendment to the terms of its preferred shares is an extinguishment or a modification using the fair value approach. If the fair value of the preferred shares immediately after the amendment changes by more than 10 percent from the fair value of the preferred shares immediately before the amendment, the amendment is considered an extinguishment. An amendment that does not meet this criterion is a modification. When preferred shares are extinguished, the Company recognizes the modified or exchanged preferred shares at fair value and derecognizes the carrying amount of the old preferred shares with the difference recorded in accumulated deficit. When preferred shares are modified, the Company accounted for the modification by analogy to the modification guidance contained in ASC 718-20,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and the increase of the fair value immediately after the amendment is treated as a deemed dividend to the holders of the preferred shares. Modifications that result in a decrease in the fair value of the redeemable convertible preferred shares are not recognized.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modification of Series C-2 and Series D redeemable convertible preferred shares in 2023, as the fair value of the Preferred Shares immediately after the amendment did not change by more than 10% from their fair value immediately before the amendment, the Company accounts for modification that result in an increase to the fair value of the modified Preferred Shares as deemed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ORDINARY SHARES</w:t>
      </w:r>
    </w:p>
    <w:p>
      <w:pPr>
        <w:spacing w:after="0" w:line="229" w:lineRule="exact"/>
        <w:rPr>
          <w:sz w:val="20"/>
          <w:szCs w:val="20"/>
          <w:color w:val="auto"/>
        </w:rPr>
      </w:pPr>
    </w:p>
    <w:p>
      <w:pPr>
        <w:jc w:val="both"/>
        <w:ind w:firstLine="630"/>
        <w:spacing w:after="0" w:line="258" w:lineRule="auto"/>
        <w:rPr>
          <w:sz w:val="20"/>
          <w:szCs w:val="20"/>
          <w:color w:val="auto"/>
        </w:rPr>
      </w:pPr>
      <w:r>
        <w:rPr>
          <w:rFonts w:ascii="Times New Roman" w:cs="Times New Roman" w:eastAsia="Times New Roman" w:hAnsi="Times New Roman"/>
          <w:sz w:val="18"/>
          <w:szCs w:val="18"/>
          <w:color w:val="auto"/>
        </w:rPr>
        <w:t>The number of authorized shares is 5,000,000,000 shares with a par value of US$0.00001 per share. The authorized shares of the Company were consisted of 2,713,770,293 ordinary shares and 2,286,229,707 preferred shares as of December 31, 2024. On May 12, 2025, the Company amended its memorandum and articles of association to increase the authorized share capital to 20,000,000,000 shares, comprising 16,000,000,000 Class A ordinary shares and 800,000,000 Class B ordinary shares, with the remaining 3,200,000,000 shares to be designated by the Board of Directors, with a par value of US$0.00001 each.</w:t>
      </w:r>
    </w:p>
    <w:p>
      <w:pPr>
        <w:spacing w:after="0" w:line="183" w:lineRule="exact"/>
        <w:rPr>
          <w:sz w:val="20"/>
          <w:szCs w:val="20"/>
          <w:color w:val="auto"/>
        </w:rPr>
      </w:pPr>
    </w:p>
    <w:p>
      <w:pPr>
        <w:jc w:val="both"/>
        <w:ind w:firstLine="630"/>
        <w:spacing w:after="0" w:line="261" w:lineRule="auto"/>
        <w:rPr>
          <w:sz w:val="20"/>
          <w:szCs w:val="20"/>
          <w:color w:val="auto"/>
        </w:rPr>
      </w:pPr>
      <w:r>
        <w:rPr>
          <w:rFonts w:ascii="Times New Roman" w:cs="Times New Roman" w:eastAsia="Times New Roman" w:hAnsi="Times New Roman"/>
          <w:sz w:val="18"/>
          <w:szCs w:val="18"/>
          <w:color w:val="auto"/>
        </w:rPr>
        <w:t>On August 19, 2025, the Company completed its initial public offering (IPO) and was listed on Nasdaq: (i) the existing ordinary shares were converted into 117,373,899 Class A ordinary shares and 342,773,160 Class B ordinary shares in accordance with the exchange ratio as of December 31, 2024; (ii) all convertible redeemable preferred shares were converted into 2,286,229,707 Class A ordinary shares; (iii) the Company issued 113,050,000 Class A ordinary shares to investors, at a purchase price equal to $4.1 per share.</w:t>
      </w:r>
    </w:p>
    <w:p>
      <w:pPr>
        <w:spacing w:after="0" w:line="180" w:lineRule="exact"/>
        <w:rPr>
          <w:sz w:val="20"/>
          <w:szCs w:val="20"/>
          <w:color w:val="auto"/>
        </w:rPr>
      </w:pPr>
    </w:p>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2,859,426,766 ordinary shares issued and outstanding, comprising 2,516,653,606 Class A ordinary shares and 342,773,160 Class B ordinary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SHARE-BASED COMPENSATION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shareholders and Board of Directors approved of 2015 Share Incentive Plan (the “Option Plan”) in order to provide incentives and rewards to the Company’s directors, employees and consultant of the Company. Share options under the Option Plan are generally three types of vesting schedule, which are: (i) 25% of the options vest on the first anniversary of the vesting commencement date and the remaining 75% shall equally vest semi-annually over the next three years; (ii) 25% of the options vest on the first anniversary of the vesting commencement date and the remaining 75% shall equally vest quarterly over the next three years; (iii) 25% of the options vest on the first anniversary of the vesting commencement date and the remaining 75% shall equally vest monthly over the next three years. The option holders can only exercise their vested options after 90 days following the completion of IPO or a sale of all or substantially all assets or equity interests of the Company, subject to compliance of applicable requirements under laws and regulations in the PRC. The Company did not recognize any share-based compensation expense on the share options since the IPO performance condition is deemed to be not probable. As of December 31, 2025, the Company authorized 815,130,483 share options under the Option Plan.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options granted prior to the IPO, the fair value was estimated using the Binomial Option Pricing Model. For options granted on or after the IPO date, the fair value of the underlying shares is based on the quoted market price on the grant date, and the pre-IPO valuation model assumptions are no longer applied.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share options activity for the year ended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7"/>
        </w:trPr>
        <w:tc>
          <w:tcPr>
            <w:tcW w:w="59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2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618,498,590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3.48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63,779</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6,362,000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1,769,740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623,090,850</w:t>
            </w: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0.01</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ind w:left="800"/>
              <w:spacing w:after="0" w:line="203" w:lineRule="exact"/>
              <w:rPr>
                <w:sz w:val="20"/>
                <w:szCs w:val="20"/>
                <w:color w:val="auto"/>
              </w:rPr>
            </w:pPr>
            <w:r>
              <w:rPr>
                <w:rFonts w:ascii="Times New Roman" w:cs="Times New Roman" w:eastAsia="Times New Roman" w:hAnsi="Times New Roman"/>
                <w:sz w:val="18"/>
                <w:szCs w:val="18"/>
                <w:b w:val="1"/>
                <w:bCs w:val="1"/>
                <w:color w:val="auto"/>
                <w:w w:val="88"/>
              </w:rPr>
              <w:t>9.93</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71,675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and 2025, no share options were exercisable. The weighted average grant date fair value of the share options for the years ended December 31, 2024 and 2025 were US$0.11 and US$1.28 per share, respectively. For options granted after the IPO, the fair value is based on the quoted market price on the grant date. The Company extended the expiration date of all unexercised share options to 2035, and none of these options were exercised as of the end of the reporting period.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the options is estimated on the dates of grant using the binomial option pricing model with the following key assumptions used: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980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98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 of return (per annum)</w:t>
            </w: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4.75% – 5.93%</w:t>
            </w:r>
          </w:p>
        </w:tc>
        <w:tc>
          <w:tcPr>
            <w:tcW w:w="100" w:type="dxa"/>
            <w:vAlign w:val="bottom"/>
            <w:shd w:val="clear" w:color="auto" w:fill="CCEEFF"/>
          </w:tcPr>
          <w:p>
            <w:pPr>
              <w:spacing w:after="0"/>
              <w:rPr>
                <w:sz w:val="18"/>
                <w:szCs w:val="18"/>
                <w:color w:val="auto"/>
              </w:rPr>
            </w:pPr>
          </w:p>
        </w:tc>
      </w:tr>
      <w:tr>
        <w:trPr>
          <w:trHeight w:val="216"/>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54.5% – 54.7%</w:t>
            </w:r>
          </w:p>
        </w:tc>
      </w:t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Exercise multiple</w:t>
            </w:r>
          </w:p>
        </w:tc>
        <w:tc>
          <w:tcPr>
            <w:tcW w:w="13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underlying ordinary share</w:t>
            </w:r>
          </w:p>
        </w:tc>
        <w:tc>
          <w:tcPr>
            <w:tcW w:w="1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US$0.11</w:t>
            </w:r>
          </w:p>
        </w:tc>
      </w:tr>
      <w:tr>
        <w:trPr>
          <w:trHeight w:val="234"/>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4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100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 of return (per annum)</w:t>
            </w: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4.13%</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Exercise multiple</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underlying ordinary share</w:t>
            </w:r>
          </w:p>
        </w:tc>
        <w:tc>
          <w:tcPr>
            <w:tcW w:w="1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US$1.28</w:t>
            </w:r>
          </w:p>
        </w:tc>
      </w:t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risk-free interest rate was estimated based on the yield to maturity of U.S. treasury bonds denominated in USD for a term consistent with the expected term of the Company’s options in effect at the option valuation date. The expected volatility was estimated based on the historical volatility of comparable peer public companies with a time horizon close to the contract life of the Company’s options. The expected exercise multiple was estimated as the average ratio of the stock price to the exercise price of when employees would decide to voluntarily exercise their vested options. Expected dividend yield is zero as the Company has never declared or paid any cash dividends on its shares, and the Company does not anticipate any dividend payments in the foreseeable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852"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FAIR VALUE MEASUREMENT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holder of the exchangeable notes waived all conversion rights associated with the instrument. As a result, the exchangeable notes no longer contain features requiring bifurcation or fair value measurement. The instrument is therefore accounted for as a financial liability at amortized cost beginning on the date of modification.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Accordingly, as of December 31, 2025, the Group no longer has exchangeable notes measured at fair value on a recurring basis, and such instruments are no longer included within the fair value hierarchy.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2024, certain financial liabilities, including exchangeable notes, were measured at fair value using significant unobservable inputs and categorized within Level 3 of the fair value hierarchy.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no financial liabilities are measured at fair value on a recurring basis.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hierarchy for those assets and liabilities measured at fair value on a recurring basis as of December 31, 2023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Quoted prices</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 active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observable</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unobservable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36"/>
        </w:trPr>
        <w:tc>
          <w:tcPr>
            <w:tcW w:w="7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20"/>
                <w:szCs w:val="20"/>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assets at fair value through</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Exchangeable Notes</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20,681</w:t>
            </w: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Quoted prices</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 active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observable</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unobservable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37"/>
        </w:trPr>
        <w:tc>
          <w:tcPr>
            <w:tcW w:w="7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20"/>
                <w:szCs w:val="20"/>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assets at fair value through</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Exchangeable Notes</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20,990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Liabilities are measured at fair value using unobservable inputs and categorized in Level 3 of the fair value hierarchy.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values of the ODI Convertible Loans and Exchangeable Notes were estimated with the following key assumptions with no change for the years ended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47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4780" w:type="dxa"/>
            <w:vAlign w:val="bottom"/>
          </w:tcPr>
          <w:p>
            <w:pPr>
              <w:spacing w:after="0"/>
              <w:rPr>
                <w:sz w:val="21"/>
                <w:szCs w:val="21"/>
                <w:color w:val="auto"/>
              </w:rPr>
            </w:pPr>
          </w:p>
        </w:tc>
        <w:tc>
          <w:tcPr>
            <w:tcW w:w="6360" w:type="dxa"/>
            <w:vAlign w:val="bottom"/>
            <w:gridSpan w:val="2"/>
          </w:tcPr>
          <w:p>
            <w:pPr>
              <w:jc w:val="center"/>
              <w:ind w:left="49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 of return (per annum)</w:t>
            </w:r>
          </w:p>
        </w:tc>
        <w:tc>
          <w:tcPr>
            <w:tcW w:w="50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6.19% – 6.24%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360" w:type="dxa"/>
            <w:vAlign w:val="bottom"/>
            <w:gridSpan w:val="2"/>
          </w:tcPr>
          <w:p>
            <w:pPr>
              <w:jc w:val="center"/>
              <w:ind w:left="5030"/>
              <w:spacing w:after="0"/>
              <w:rPr>
                <w:sz w:val="20"/>
                <w:szCs w:val="20"/>
                <w:color w:val="auto"/>
              </w:rPr>
            </w:pPr>
            <w:r>
              <w:rPr>
                <w:rFonts w:ascii="Times New Roman" w:cs="Times New Roman" w:eastAsia="Times New Roman" w:hAnsi="Times New Roman"/>
                <w:sz w:val="18"/>
                <w:szCs w:val="18"/>
                <w:color w:val="auto"/>
              </w:rPr>
              <w:t>59.21%</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360" w:type="dxa"/>
            <w:vAlign w:val="bottom"/>
            <w:gridSpan w:val="2"/>
            <w:shd w:val="clear" w:color="auto" w:fill="CCEEFF"/>
          </w:tcPr>
          <w:p>
            <w:pPr>
              <w:jc w:val="center"/>
              <w:ind w:left="5030"/>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5020" w:type="dxa"/>
            <w:vAlign w:val="bottom"/>
          </w:tcPr>
          <w:p>
            <w:pPr>
              <w:spacing w:after="0"/>
              <w:rPr>
                <w:sz w:val="18"/>
                <w:szCs w:val="18"/>
                <w:color w:val="auto"/>
              </w:rPr>
            </w:pPr>
          </w:p>
        </w:tc>
        <w:tc>
          <w:tcPr>
            <w:tcW w:w="14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0.69 years</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Applied bond yield</w:t>
            </w:r>
          </w:p>
        </w:tc>
        <w:tc>
          <w:tcPr>
            <w:tcW w:w="6360" w:type="dxa"/>
            <w:vAlign w:val="bottom"/>
            <w:gridSpan w:val="2"/>
            <w:shd w:val="clear" w:color="auto" w:fill="CCEEFF"/>
          </w:tcPr>
          <w:p>
            <w:pPr>
              <w:jc w:val="center"/>
              <w:ind w:left="5030"/>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Yield for value of credit risk</w:t>
            </w:r>
          </w:p>
        </w:tc>
        <w:tc>
          <w:tcPr>
            <w:tcW w:w="6360" w:type="dxa"/>
            <w:vAlign w:val="bottom"/>
            <w:gridSpan w:val="2"/>
          </w:tcPr>
          <w:p>
            <w:pPr>
              <w:jc w:val="center"/>
              <w:ind w:left="5030"/>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18"/>
                <w:szCs w:val="18"/>
                <w:color w:val="auto"/>
              </w:rPr>
            </w:pPr>
          </w:p>
        </w:tc>
      </w:tr>
      <w:tr>
        <w:trPr>
          <w:trHeight w:val="198"/>
        </w:trPr>
        <w:tc>
          <w:tcPr>
            <w:tcW w:w="4780" w:type="dxa"/>
            <w:vAlign w:val="bottom"/>
            <w:shd w:val="clear" w:color="auto" w:fill="CCEEFF"/>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US$0.11 –</w:t>
            </w:r>
          </w:p>
        </w:tc>
      </w:tr>
      <w:tr>
        <w:trPr>
          <w:trHeight w:val="23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underlying ordinary shares/preferred shares</w:t>
            </w:r>
          </w:p>
        </w:tc>
        <w:tc>
          <w:tcPr>
            <w:tcW w:w="50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US$0.14</w:t>
            </w:r>
          </w:p>
        </w:tc>
      </w:tr>
      <w:tr>
        <w:trPr>
          <w:trHeight w:val="655"/>
        </w:trPr>
        <w:tc>
          <w:tcPr>
            <w:tcW w:w="478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color w:val="auto"/>
              </w:rPr>
              <w:t>F-42</w:t>
            </w:r>
          </w:p>
        </w:tc>
      </w:tr>
    </w:tbl>
    <w:p>
      <w:pPr>
        <w:sectPr>
          <w:pgSz w:w="11900" w:h="16838" w:orient="portrait"/>
          <w:cols w:equalWidth="0" w:num="1">
            <w:col w:w="11240"/>
          </w:cols>
          <w:pgMar w:left="320" w:top="333" w:right="33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FAIR VALUE MEASUREMENT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estimated fair value of the ODI Convertible Loans and Exchangeable Notes estimated by management with the assistance of an independent valuation firm. The Company estimated the fair value of the ODI Convertible Loans and Exchangeable Notes based on a probability-weighted analysis and the value of the conversion option as determined by the binomial option pricing model simulating the equity value movement which provide the calculation basis of the financial liabilities fair value. The inputs used in the analysis were classified as Level 3 inputs within the fair value hierarchy due to the lack of observable market data and activity. The determination of the fair value of the Company’s preferred shares and ordinary shares requires complex and subjective judgments to be made regarding the cash flow forecasts and the weighted average cost of capital and the discount for lack of marketability applied to the projected cash flows. If different estimates and assumptions had been used, the fair values of the preferred shares and ordinary shares could be significantly different, and the fair value of the ODI Convertible Loans and Exchangeable Notes may materially differ from the recognized amount.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risk-free rate of return was estimated based on the yield of US Treasury Strip with a maturity life equal to the remaining maturity life of the financial liabilities as of the valuation date. The expected volatility was estimated based on the historical volatility of comparable peer public companies with a time horizon close to the expected term of the Company’s financial liabilities. Expected dividend yield is zero as the Company has never declared or paid any cash dividends on its shares, and the Company does not anticipate any dividend payments in the foreseeable future. Expected term is the remaining life of the financial liabilities.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 OTHER INCOME, NET</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components of other income are as follows: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Penalty waiver</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Deposit forfeiture</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581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Subsidy</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Others</w:t>
            </w:r>
          </w:p>
        </w:tc>
        <w:tc>
          <w:tcPr>
            <w:tcW w:w="1380" w:type="dxa"/>
            <w:vAlign w:val="bottom"/>
            <w:gridSpan w:val="2"/>
          </w:tcPr>
          <w:p>
            <w:pPr>
              <w:ind w:left="11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74"/>
        </w:trPr>
        <w:tc>
          <w:tcPr>
            <w:tcW w:w="7320" w:type="dxa"/>
            <w:vAlign w:val="bottom"/>
            <w:vMerge w:val="continue"/>
          </w:tcPr>
          <w:p>
            <w:pPr>
              <w:spacing w:after="0"/>
              <w:rPr>
                <w:sz w:val="6"/>
                <w:szCs w:val="6"/>
                <w:color w:val="auto"/>
              </w:rPr>
            </w:pPr>
          </w:p>
        </w:tc>
        <w:tc>
          <w:tcPr>
            <w:tcW w:w="1380" w:type="dxa"/>
            <w:vAlign w:val="bottom"/>
            <w:gridSpan w:val="2"/>
          </w:tcPr>
          <w:p>
            <w:pPr>
              <w:jc w:val="right"/>
              <w:ind w:right="150"/>
              <w:spacing w:after="0" w:line="68" w:lineRule="exact"/>
              <w:rPr>
                <w:sz w:val="20"/>
                <w:szCs w:val="20"/>
                <w:color w:val="auto"/>
              </w:rPr>
            </w:pPr>
            <w:r>
              <w:rPr>
                <w:rFonts w:ascii="Times New Roman" w:cs="Times New Roman" w:eastAsia="Times New Roman" w:hAnsi="Times New Roman"/>
                <w:sz w:val="7"/>
                <w:szCs w:val="7"/>
                <w:color w:val="auto"/>
              </w:rPr>
              <w:t>(521</w:t>
            </w:r>
          </w:p>
        </w:tc>
        <w:tc>
          <w:tcPr>
            <w:tcW w:w="11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(expense) primarily consists of one-off items that are not expected to recur in the ordinary course of business.</w:t>
      </w:r>
    </w:p>
    <w:p>
      <w:pPr>
        <w:spacing w:after="0" w:line="221" w:lineRule="exact"/>
        <w:rPr>
          <w:sz w:val="20"/>
          <w:szCs w:val="20"/>
          <w:color w:val="auto"/>
        </w:rPr>
      </w:pPr>
    </w:p>
    <w:p>
      <w:pPr>
        <w:ind w:left="280" w:hanging="272"/>
        <w:spacing w:after="0"/>
        <w:tabs>
          <w:tab w:leader="none" w:pos="28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Income tax</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current laws of the Cayman Islands, the Company’s subsidiary is not subject to tax on income or capital gain. Additionally, the Cayman Islands does not impose a withholding tax on payments of dividends to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 S.A.R.</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current Hong Kong S.A.R. Inland Revenue Ordinance, the Company’s Hong Kong S.A.R. subsidiary is subject to Hong Kong S.A.R. profits tax at the rate of 16.5% on its taxable income generated from the operations in Hong Kong S.A.R.. Payments of dividends by the Hong Kong S.A.R. subsidiary to the Company is not subject to withholding tax in Hong Kong S.A.R.. A two-tiered profits tax rates regime was introduced in 2018 where the first HK$2 million of assessable profits earned by a company will be taxed at half of the current tax rate (8.25%) whilst the remaining profits will continue to be taxed at 16.5%. There is an anti- fragmentation measure where each group will have to nominate only one company in the group to benefit from the progressive rates. No provision for Hong Kong profits tax has been made in the financial statements as the subsidiary in Hong Kong has no assessable profits for the year ended December 31, 2023, 2024 and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PRC, excluding Hong Kong S.A.R.</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Group’s PRC subsidiaries, VIEs and the VIEs’ subsidiaries are subject to the PRC Corporate Income Tax Law (“CIT Law”) at the statutory income tax rate of 25%, unless otherwise specified. According to the CIT Law, entities that qualify as “high-and-new technology enterprises” (“HNTE”) are entitled to a preferential income tax rate of 15%, and entities that qualify as “small enterprises with low profits’ are entitled to a preferential income tax rate of 20%.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21. INCOME TAX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Beijing Yimutian and Yimutian Xinnong were qualified as a High and New Technology Enterprise (“HNTE”), since 2018 and is eligible for a 15% preferential tax rate from 2018 to 2020. In December 2021, Beijing Yimutian, and Yimutian Xinnong renewed the certificate with a validity term of three years from 2023 to 2024. From year 2023 to year 2024, Beijing Douniu became eligible as HNTE enabling it to enjoy a preferential tax rate of 15%. All of them renewed the certificate with a validity term of three years from 2024 to 2026.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components of loss before income taxes are as follows: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7320" w:type="dxa"/>
            <w:vAlign w:val="bottom"/>
          </w:tcPr>
          <w:p>
            <w:pPr>
              <w:spacing w:after="0"/>
              <w:rPr>
                <w:sz w:val="24"/>
                <w:szCs w:val="24"/>
                <w:color w:val="auto"/>
              </w:rPr>
            </w:pPr>
          </w:p>
        </w:tc>
        <w:tc>
          <w:tcPr>
            <w:tcW w:w="3920" w:type="dxa"/>
            <w:vAlign w:val="bottom"/>
            <w:gridSpan w:val="7"/>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37"/>
        </w:trPr>
        <w:tc>
          <w:tcPr>
            <w:tcW w:w="73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154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20"/>
                <w:szCs w:val="20"/>
                <w:color w:val="auto"/>
              </w:rPr>
            </w:pPr>
          </w:p>
        </w:tc>
        <w:tc>
          <w:tcPr>
            <w:tcW w:w="15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RMB</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USD</w:t>
            </w:r>
          </w:p>
        </w:tc>
        <w:tc>
          <w:tcPr>
            <w:tcW w:w="8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 excluding Hong Kong S.A.R</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(34,899)</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(23,372)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(3,342)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Hong Kong S.A.R</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(24,001)</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(3,432)</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(34,979</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(47,377</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(6,775</w:t>
            </w:r>
          </w:p>
        </w:tc>
        <w:tc>
          <w:tcPr>
            <w:tcW w:w="80" w:type="dxa"/>
            <w:vAlign w:val="bottom"/>
            <w:tcBorders>
              <w:top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73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Reconciliation of the differences between PRC statutory income tax rate and the Group’s effective income tax rate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2024 and 2025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9"/>
                <w:szCs w:val="19"/>
                <w:color w:val="auto"/>
              </w:rPr>
            </w:pPr>
          </w:p>
        </w:tc>
        <w:tc>
          <w:tcPr>
            <w:tcW w:w="11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PRC Statutory income tax rate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(Decrease) increase in effective income tax rate resulting from:</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rate differential for non-PRC entities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Preferential tax rate</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tax rate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 additional deduction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11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effective tax rate is not meaningful due to the Company's net loss position and full valuation allowance recorded against deferred tax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(b) Deferred tax assets and deferred tax liabilities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5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r>
      <w:tr>
        <w:trPr>
          <w:trHeight w:val="432"/>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226,344</w:t>
            </w:r>
          </w:p>
        </w:tc>
        <w:tc>
          <w:tcPr>
            <w:tcW w:w="14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222,129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182,723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26,129</w:t>
            </w: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w:t>
            </w:r>
          </w:p>
        </w:tc>
        <w:tc>
          <w:tcPr>
            <w:tcW w:w="14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3,010</w:t>
            </w: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50"/>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610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233,840</w:t>
            </w: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gridSpan w:val="2"/>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224,493</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183,476</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26,237</w:t>
            </w:r>
          </w:p>
        </w:tc>
        <w:tc>
          <w:tcPr>
            <w:tcW w:w="100" w:type="dxa"/>
            <w:vAlign w:val="bottom"/>
            <w:tcBorders>
              <w:top w:val="single" w:sz="8" w:color="CCEEFF"/>
            </w:tcBorders>
          </w:tcPr>
          <w:p>
            <w:pPr>
              <w:spacing w:after="0"/>
              <w:rPr>
                <w:sz w:val="17"/>
                <w:szCs w:val="17"/>
                <w:color w:val="auto"/>
              </w:rPr>
            </w:pPr>
          </w:p>
        </w:tc>
      </w:tr>
      <w:tr>
        <w:trPr>
          <w:trHeight w:val="249"/>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(230,830)</w:t>
            </w:r>
          </w:p>
        </w:tc>
        <w:tc>
          <w:tcPr>
            <w:tcW w:w="14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(222,243)</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(182,723)</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(26,129)</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Deferred income tax assets, net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3,010</w:t>
            </w: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2,250</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753</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8"/>
                <w:szCs w:val="18"/>
                <w:color w:val="auto"/>
              </w:rPr>
            </w:pPr>
          </w:p>
        </w:tc>
      </w:tr>
      <w:tr>
        <w:trPr>
          <w:trHeight w:val="23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(3,010)</w:t>
            </w:r>
          </w:p>
        </w:tc>
        <w:tc>
          <w:tcPr>
            <w:tcW w:w="14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r>
      <w:tr>
        <w:trPr>
          <w:trHeight w:val="223"/>
        </w:trPr>
        <w:tc>
          <w:tcPr>
            <w:tcW w:w="6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income tax liabilities</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no income tax expense for the years ended December 31, 2023, 2024 and 2025, as a full valuation allowance was recognized against its deferred tax assets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full valuation allowance is recorded due to cumulative losses and lack of sufficient positive evidence that deferred tax assets will be realized.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Deferred tax assets and liabilities are presented on a net basis by tax jurisdiction in accordance with ASC 740.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339"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21. INCOME TAX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the Group has incurred cumulative losses, a full valuation allowance has been recorded against deferred tax assets, resulting in no income tax expense for the year.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Group had net operating loss carry forwards of RMB730,893, primarily attributable to the PRC subsidiaries, consolidated VIEs and the VIEs’ subsidiaries. For HNTEs, the loss carried forward will expire during the period from year 2025 to year 2034. For the other PRC companies, the loss carried forward will expire during the period from year 2025 to year 2029.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7"/>
        </w:trPr>
        <w:tc>
          <w:tcPr>
            <w:tcW w:w="8680" w:type="dxa"/>
            <w:vAlign w:val="bottom"/>
          </w:tcPr>
          <w:p>
            <w:pPr>
              <w:spacing w:after="0"/>
              <w:rPr>
                <w:sz w:val="20"/>
                <w:szCs w:val="20"/>
                <w:color w:val="auto"/>
              </w:rPr>
            </w:pPr>
          </w:p>
        </w:tc>
        <w:tc>
          <w:tcPr>
            <w:tcW w:w="134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RMB</w:t>
            </w: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gridSpan w:val="2"/>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56,806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8,123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57,409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8,209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120,575</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17,242</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425,178</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60,800</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730,893</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104,516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SEGMENT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reportable segment. The chief operating decision maker (“CODM”), identified as the Chief Executive Officer, reviews the Company’s consolidated financial results for purposes of evaluating financial performance and allocating resources.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CODM assesses performance and makes resource allocation decisions based on consolidated financial information and does not regularly review discrete financial information by product, service line, or geography.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ASC 280, as amended by ASU 2023-07, the Company evaluated whether there are significant segment expense categories that are regularly provided to the CODM. As the CODM does not regularly review disaggregated expense information in managing the business, the Company has not identified any significant segment expenses that require separate disclosure.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NET LOSS PER SHARE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basic and diluted net loss per share computation and provides a reconciliation of the numerator and denominator for the years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11"/>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98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118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8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RMB</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(181,132)</w:t>
            </w:r>
          </w:p>
        </w:tc>
        <w:tc>
          <w:tcPr>
            <w:tcW w:w="14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(123,177)</w:t>
            </w:r>
          </w:p>
        </w:tc>
        <w:tc>
          <w:tcPr>
            <w:tcW w:w="13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(46,644)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(6,670)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outstanding for basic and diluted</w:t>
            </w: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per share calculation</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(0.45)</w:t>
            </w:r>
          </w:p>
        </w:tc>
        <w:tc>
          <w:tcPr>
            <w:tcW w:w="14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w:t>
            </w:r>
          </w:p>
        </w:tc>
        <w:tc>
          <w:tcPr>
            <w:tcW w:w="13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ordinary share:</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 and diluted</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400,206,197</w:t>
            </w:r>
          </w:p>
        </w:tc>
        <w:tc>
          <w:tcPr>
            <w:tcW w:w="12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460,147,059</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1,340,668,787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1,340,668,787</w:t>
            </w: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24. RELATED PARTY TRANSACTIONS</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Group had the following balances with related parties:</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5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RMB</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Borders>
              <w:top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3,436</w:t>
            </w:r>
          </w:p>
        </w:tc>
        <w:tc>
          <w:tcPr>
            <w:tcW w:w="13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3,357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13,079</w:t>
            </w:r>
          </w:p>
        </w:tc>
        <w:tc>
          <w:tcPr>
            <w:tcW w:w="13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3,511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r>
      <w:tr>
        <w:trPr>
          <w:trHeight w:val="655"/>
        </w:trPr>
        <w:tc>
          <w:tcPr>
            <w:tcW w:w="598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F-45</w:t>
            </w: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24. RELATED PARTY TRANSACTIONS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Amounts due from related parties represent interest-free loans provided to a preferred shareholder and certain entities controlled by a preferred shareholder. These loans are unsecured and contractually repayable on demand.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2021, the Company provided an interest-free loan of US$0.5 million (equivalent to RMB3,084) to a preferred shareholder. As of December 31, 2024 and 2025, the outstanding balance was RMB3,436 and RMB3,357, respectively.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has assessed the recoverability of these balances, taking into account the financial position of the counterparties, their relationship with the Group, and the absence of historical defaults. Based on this assessment, management believes the balances are fully recoverable and no allowance for expected credit losses has been recorded.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Amounts due to related parties primarily include:</w:t>
      </w:r>
    </w:p>
    <w:p>
      <w:pPr>
        <w:spacing w:after="0" w:line="225" w:lineRule="exact"/>
        <w:rPr>
          <w:sz w:val="20"/>
          <w:szCs w:val="20"/>
          <w:color w:val="auto"/>
        </w:rPr>
      </w:pPr>
    </w:p>
    <w:p>
      <w:pPr>
        <w:jc w:val="both"/>
        <w:ind w:firstLine="656"/>
        <w:spacing w:after="0" w:line="266" w:lineRule="auto"/>
        <w:tabs>
          <w:tab w:leader="none" w:pos="86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Payables related to cash collected on behalf of the Company’s equity investee, amounting to RMB9,485 as of December 31, 2024 and nil as of December 31, 2025. During the year ended December 31, 2025, the Group settled these balances, including repayment of principal amounts. The Group acts as an agent in these arrangements and does not recognize such amounts as revenue.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related party waived certain outstanding charges associated with these balances. Management considered whether the waiver represents a capital contribution from a related party. Based on the nature of the underlying transactions and the absence of any equity-related arrangements, management concluded that the waiver represents a settlement of transaction-related obligations rather than a capital contribution, and therefore recognition in profit or loss is appropriate.</w:t>
      </w:r>
    </w:p>
    <w:p>
      <w:pPr>
        <w:spacing w:after="0" w:line="180" w:lineRule="exact"/>
        <w:rPr>
          <w:sz w:val="20"/>
          <w:szCs w:val="20"/>
          <w:color w:val="auto"/>
        </w:rPr>
      </w:pPr>
    </w:p>
    <w:p>
      <w:pPr>
        <w:jc w:val="both"/>
        <w:ind w:firstLine="656"/>
        <w:spacing w:after="0" w:line="261" w:lineRule="auto"/>
        <w:tabs>
          <w:tab w:leader="none" w:pos="9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Payables related to the repurchase of the Company’s preferred shares, amounting to RMB3,594 and RMB3,511 as of December 31, 2024 and 2025, respectively. These balances represent contractual obligations under share repurchase arrangements and are classified as liabilities as the Group has an obligation to transfer cash and the arrangements do not meet the criteria for equity classification under US GAAP. The balances are unsecured and are repayable in accordance with the relevant contractual terms.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terms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related party balances are unsecured, non-interest bearing, and are settled in cash unless otherwise agreed by the parties.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Management applies judgment in assessing the classification, measurement, and recoverability of related party balances, including determining whether such balances represent loans, capital transactions, or other arrangements.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Although certain balances are contractually repayable on demand, the timing of settlement may depend on the Group’s liquidity position and the intentions of the related parties.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presents related party balances on a gross basis and does not offset such balances unless the criteria for offsetting under US GAAP 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25. REVENUE INFORMATION</w:t>
            </w: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Group’s revenues consist of the following:</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540" w:type="dxa"/>
            <w:vAlign w:val="bottom"/>
            <w:tcBorders>
              <w:top w:val="single" w:sz="8" w:color="auto"/>
            </w:tcBorders>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RMB</w:t>
            </w: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Digital Agricultural Commerce Services:</w:t>
            </w:r>
          </w:p>
        </w:tc>
        <w:tc>
          <w:tcPr>
            <w:tcW w:w="12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Membership services</w:t>
            </w:r>
          </w:p>
        </w:tc>
        <w:tc>
          <w:tcPr>
            <w:tcW w:w="2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99,924</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95,589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84,821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Value-added services</w:t>
            </w:r>
          </w:p>
        </w:tc>
        <w:tc>
          <w:tcPr>
            <w:tcW w:w="2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65,850</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52,712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47,755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6,829</w:t>
            </w:r>
          </w:p>
        </w:tc>
        <w:tc>
          <w:tcPr>
            <w:tcW w:w="0" w:type="dxa"/>
            <w:vAlign w:val="bottom"/>
          </w:tcPr>
          <w:p>
            <w:pPr>
              <w:spacing w:after="0"/>
              <w:rPr>
                <w:sz w:val="1"/>
                <w:szCs w:val="1"/>
                <w:color w:val="auto"/>
              </w:rPr>
            </w:pPr>
          </w:p>
        </w:tc>
      </w:tr>
      <w:tr>
        <w:trPr>
          <w:trHeight w:val="25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services</w:t>
            </w:r>
          </w:p>
        </w:tc>
        <w:tc>
          <w:tcPr>
            <w:tcW w:w="2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5,147</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2,756</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Digital Agricultural Commerce Services</w:t>
            </w:r>
          </w:p>
        </w:tc>
        <w:tc>
          <w:tcPr>
            <w:tcW w:w="1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170,921</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152,606</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135,332</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19,352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Digital Agricultural Solutions</w:t>
            </w:r>
          </w:p>
        </w:tc>
        <w:tc>
          <w:tcPr>
            <w:tcW w:w="1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16,602</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8,715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5,323</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vMerge w:val="continue"/>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187,523</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161,321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140,655</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20,113</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1400"/>
              <w:spacing w:after="0"/>
              <w:rPr>
                <w:sz w:val="20"/>
                <w:szCs w:val="20"/>
                <w:color w:val="auto"/>
              </w:rPr>
            </w:pPr>
            <w:r>
              <w:rPr>
                <w:rFonts w:ascii="Times New Roman" w:cs="Times New Roman" w:eastAsia="Times New Roman" w:hAnsi="Times New Roman"/>
                <w:sz w:val="18"/>
                <w:szCs w:val="18"/>
                <w:color w:val="auto"/>
              </w:rPr>
              <w:t>F-46</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25. REVENUE INFORMATION </w:t>
            </w:r>
            <w:r>
              <w:rPr>
                <w:rFonts w:ascii="Times New Roman" w:cs="Times New Roman" w:eastAsia="Times New Roman" w:hAnsi="Times New Roman"/>
                <w:sz w:val="18"/>
                <w:szCs w:val="18"/>
                <w:color w:val="auto"/>
              </w:rPr>
              <w:t>(cont.)</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Timing of recognition</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540" w:type="dxa"/>
            <w:vAlign w:val="bottom"/>
            <w:tcBorders>
              <w:top w:val="single" w:sz="8" w:color="auto"/>
            </w:tcBorders>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RMB</w:t>
            </w: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services transferred to customers at a point in time</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51,917</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41,996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41,836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6,013</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services transferred to customers over time</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135,606</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119,325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98,819</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14,100</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187,523</w:t>
            </w:r>
          </w:p>
        </w:tc>
        <w:tc>
          <w:tcPr>
            <w:tcW w:w="1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161,321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140,655</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20,113</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Group generates revenue primarily from membership services and value-added services, which are generally recognized over time, and transaction services, which are primarily recognized at a point in time. Further details are provided in Note 2 – Revenue Recognition.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Membership services and a significant portion of value-added services are recognized over time, while transaction services are primarily recognized at a point in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of the Group’s revenues include variable consideration, primarily relating to transaction-based service fees and potential refunds or service adjustments.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estimates variable consideration based on historical experience and expected outcomes and includes such amounts in revenue only to the extent that it is probable that a significant reversal will not occur when the uncertainty is resolved. Adjustments to variable consideration, including refunds and reversals, are recognized in the period in which the underlying facts and circumstances change.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Under the requirements of ASC 606-10-50-8, the changes in contract liabilities are presented as follows: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868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216"/>
        </w:trPr>
        <w:tc>
          <w:tcPr>
            <w:tcW w:w="86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88,906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12,713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169,811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24,283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as revenue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(135,606)</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(19,391)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Recognized tax amount allocated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(7,626)</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(1,091)</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Refund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(3,162)</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(452)</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112,323</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16,062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115,511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16,518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Recognized as revenue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(119,325)</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(17,063)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tax amount allocated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(7,385)</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(1,056)</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Refund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(798)</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100,326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93,842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13,419</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as revenue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(98,818)</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(14,130)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Recognized tax amount allocated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(5,929)</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(848)</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Refund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(599)</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88,822</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12,702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Of the total revenue recognized during the year ended December 31, 2025, RMB94,306 was included in the contract liabilities balance as of January 1, 2025.</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changes in contract liabilities were primarily driven by customer prepayments for services and subsequent revenue recognition as the related services were delivered.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Contract liabilities are classified as current or non-current based on the expected timing of revenue recognition, which corresponds to the remaining service period of the underlying contracts.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2023, 2024 and 2025, all of the Group’s revenues were generated in the PRC.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COMMITMENTS AND CONTINGENCIES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legal proceedings that generally arise in the ordinary course of its business. The Company is a defendant in a contractual dispute in which the plaintiff seeks approximately RMB 2.66 million in alleged losses, plus interest. The case is currently pending trial, with the next hearing scheduled for May 13, 2026. The Company is actively defending the claim and intends to contest liability. Based on currently available information, management does not believe a material loss is probable, and no accrual has been recorded. However, the final outcome remains uncertain.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SUBSEQUENT EVENTS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6, 2025, the Company received a written notice from Nasdaq indicating that the Company no longer meet the continued listing requirement of minimum Market Value of Publicly Held Shares (“MVPHS”) for Nasdaq, because our MVPHS for the last 30 consecutive business days was below the minimum MVPHS requirement of US$15 million. The Company were granted a grace period of 180 calendar days, expiring on May 5, 2026, in which to regain compliance. To regain compliance, our MVPHS must close at US$15 million or more for a minimum of ten consecutive business days during the compliance period, unless Nasdaq exercises its discretion to extend this ten-day period.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24, 2026, the Company entered into a binding acquisition agreement with Ningbo Xunxi Technology Co., Ltd. (“Xunxi”). Pursuant to the agreement, the Company conditionally agreed to acquire 100% equity interest of Xunxi for a total consideration of RMB50 million (comprising RMB40 million in cash and RMB10 million in stock options). This acquisition aims to integrate Xunxi’s enterprise procurement platform to expand the Company’s “B2B2C” business ecosystem. As of the approval date of this report, the closing remains subject to the satisfaction of customary conditions.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 2026, the Company received another written notice from Nasdaq indicating the Company are not in compliance with the US$1.00 minimum bid price requirement under the Nasdaq Listing Rules. Based on the closing bid price of the our ADSs from February 18, 2026 to April 1, 2026, we have not met the minimum bid price requirement set forth in the Nasdaq Listing Rules during that period. The Company were granted a grace period of 180 calendar days, expiring on September 29, 2026, in which to regain compliance. To regain compliance, the closing bid price of our ADSs must meet or exceed US$1.00 per ADS for at least ten consecutive business days during the compliance period, unless Nasdaq exercises its discretion to extend this ten-day period.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29, 2026, the Company announced a change in the ratio of its American Depositary Shares (ADSs) to Class A ordinary shares from 1 ADS representing 25 shares to 1 ADS representing 375 shares, effective as a 15-for-1 reverse split on or around May 18, 2026 (U.S. Eastern Time). The ADSs will continue to trade on Nasdaq under the ticker symbol “YMT”.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PARENT COMPANY ONLY CONDENSED FINANCIAL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condensed parent company financial information of Yimutian Inc. has been prepared using the same accounting policies as set out in the accompanying consolidated financial statements. As of December 31, 2024 and 2025, there were no material contingencies, significant provisions of long-term obligations, mandatory dividend or redemption requirements of redeemable stocks or guarantees of Yimutian Inc., except for those which have been separately disclosed in the consolidated financial statements.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share of loss from its subsidiaries was reported as a share of loss of subsidiaries in the accompanying parent company only financial statements. Ordinarily, under the equity method, an investor in an equity method investee would cease to recognize its share of the losses of an investee once the carrying value of the investment has been reduced to nil absent an undertaking by the investor to provide continuing support and fund losses. For the purpose of the parent only financial information, the Company has continued to reflect its share, based on its proportionate interest, of the losses of its subsidiaries regardless of the carrying value of the investment in the amounts due to related parties even though the Company is not obligated to provide continuing support or fund losses.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28. PARENT COMPANY ONLY CONDENSED FINANCIAL INFORMATION </w:t>
            </w:r>
            <w:r>
              <w:rPr>
                <w:rFonts w:ascii="Times New Roman" w:cs="Times New Roman" w:eastAsia="Times New Roman" w:hAnsi="Times New Roman"/>
                <w:sz w:val="18"/>
                <w:szCs w:val="18"/>
                <w:color w:val="auto"/>
              </w:rPr>
              <w:t>(cont.)</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 Condensed Balance Sheets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20"/>
                <w:szCs w:val="20"/>
                <w:color w:val="auto"/>
              </w:rPr>
            </w:pPr>
          </w:p>
        </w:tc>
        <w:tc>
          <w:tcPr>
            <w:tcW w:w="15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RMB</w:t>
            </w: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106,297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15,200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shareholders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256,794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36,721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receivable from WFOE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31,014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4,333</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6,827</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45,539</w:t>
            </w:r>
          </w:p>
        </w:tc>
        <w:tc>
          <w:tcPr>
            <w:tcW w:w="2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403,575</w:t>
            </w:r>
          </w:p>
        </w:tc>
        <w:tc>
          <w:tcPr>
            <w:tcW w:w="2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57,710</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45,539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403,575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18,449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20,990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24,949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loans, at amortized cost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3,594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payable to VIE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5,394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15,531</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24,390</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46,587</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77,746</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11,117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433,592</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433,592</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488,047</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69,788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480,179</w:t>
            </w:r>
          </w:p>
        </w:tc>
        <w:tc>
          <w:tcPr>
            <w:tcW w:w="2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565,793</w:t>
            </w:r>
          </w:p>
        </w:tc>
        <w:tc>
          <w:tcPr>
            <w:tcW w:w="2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80,905</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Redeemable Convertible Preferred Shares (US$0.00001 par value: 387,781,378 shares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as at December 31, 2024 and December 31, 2025, Redemption value of RMB56,098</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3"/>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nil as of December 31, 2024 and 2025, respectively)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56,098</w:t>
            </w:r>
          </w:p>
        </w:tc>
        <w:tc>
          <w:tcPr>
            <w:tcW w:w="1540" w:type="dxa"/>
            <w:vAlign w:val="bottom"/>
            <w:gridSpan w:val="3"/>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Redeemable Convertible Preferred Shares (US$0.00001 par value: 703,901,412 shares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as at December 31, 2024 and December 31, 2025, Redemption value of RMB787,739</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nil as of December 31, 2024 and 2025, respectively)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787,739</w:t>
            </w:r>
          </w:p>
        </w:tc>
        <w:tc>
          <w:tcPr>
            <w:tcW w:w="1540" w:type="dxa"/>
            <w:vAlign w:val="bottom"/>
            <w:gridSpan w:val="3"/>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Redeemable Convertible Preferred Shares (US$0.00001 par value: 517,022,352 shares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as at December 31, 2024 and December 31, 2025, Redemption value of RMB181,992</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3"/>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nil as of December 31, 2024 and 2025, respectively)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181,992</w:t>
            </w:r>
          </w:p>
        </w:tc>
        <w:tc>
          <w:tcPr>
            <w:tcW w:w="1540" w:type="dxa"/>
            <w:vAlign w:val="bottom"/>
            <w:gridSpan w:val="3"/>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C-1 Redeemable Convertible Preferred Shares (US$0.00001 par value: 357,323,044 shares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as at December 31, 2024 and December 31, 2025, Redemption value of RMB153,660</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nil as of December 31, 2024 and 2025, respectively)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153,660</w:t>
            </w:r>
          </w:p>
        </w:tc>
        <w:tc>
          <w:tcPr>
            <w:tcW w:w="1540" w:type="dxa"/>
            <w:vAlign w:val="bottom"/>
            <w:gridSpan w:val="3"/>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C-2 Redeemable Convertible Preferred Shares (US$0.00001 par value: 220,757,061 shares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as at December 31, 2024 and December 31, 2025, Redemption value of RMB189,973</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3"/>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nil as of December 31, 2024 and 2025, respectively)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189,873</w:t>
            </w:r>
          </w:p>
        </w:tc>
        <w:tc>
          <w:tcPr>
            <w:tcW w:w="1540" w:type="dxa"/>
            <w:vAlign w:val="bottom"/>
            <w:gridSpan w:val="3"/>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D Redeemable Convertible Preferred Shares (US$0.00001 par value: 95,320,147 shares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as at December 31, 2024 and December 31, 2025, Redemption value of RMB136,115</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nil as of December 31, 2024 and 2025, respectively)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136,115</w:t>
            </w:r>
          </w:p>
        </w:tc>
        <w:tc>
          <w:tcPr>
            <w:tcW w:w="1540" w:type="dxa"/>
            <w:vAlign w:val="bottom"/>
            <w:gridSpan w:val="3"/>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receivable from Series B Redeemable Convertible Preferred Shares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(134,455)</w:t>
            </w:r>
          </w:p>
        </w:tc>
        <w:tc>
          <w:tcPr>
            <w:tcW w:w="1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receivable from Series C Redeemable Convertible Preferred Shares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(29,026)</w:t>
            </w:r>
          </w:p>
        </w:tc>
        <w:tc>
          <w:tcPr>
            <w:tcW w:w="15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receivable from Series C-1 Redeemable Convertible Preferred Shares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(38,955)</w:t>
            </w:r>
          </w:p>
        </w:tc>
        <w:tc>
          <w:tcPr>
            <w:tcW w:w="1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1,303,041</w:t>
            </w:r>
          </w:p>
        </w:tc>
        <w:tc>
          <w:tcPr>
            <w:tcW w:w="240" w:type="dxa"/>
            <w:vAlign w:val="bottom"/>
          </w:tcPr>
          <w:p>
            <w:pPr>
              <w:spacing w:after="0"/>
              <w:rPr>
                <w:sz w:val="20"/>
                <w:szCs w:val="20"/>
                <w:color w:val="auto"/>
              </w:rPr>
            </w:pPr>
          </w:p>
        </w:tc>
        <w:tc>
          <w:tcPr>
            <w:tcW w:w="15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732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F-49</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28. PARENT COMPANY ONLY CONDENSED FINANCIAL INFORMATION </w:t>
            </w:r>
            <w:r>
              <w:rPr>
                <w:rFonts w:ascii="Times New Roman" w:cs="Times New Roman" w:eastAsia="Times New Roman" w:hAnsi="Times New Roman"/>
                <w:sz w:val="18"/>
                <w:szCs w:val="18"/>
                <w:color w:val="auto"/>
              </w:rPr>
              <w:t>(cont.)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RMB</w:t>
            </w: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24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(US$0.00001 par value, 16,000,000,000 shares authorized, 460,147,059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2,516,653,606  shares  issued  and  outstanding  as  of  December  31,  2024  and  2025,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8"/>
        </w:trPr>
        <w:tc>
          <w:tcPr>
            <w:tcW w:w="72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(US$0.00001  par  value,  800,000,000  shares  authorized,  nil  and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2,516,653,606 shares issued and outstanding as of December 31, 2024 and 2025, respectively)*</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 in capital</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1,668,465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238,588</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5"/>
          </w:tcPr>
          <w:p>
            <w:pPr>
              <w:jc w:val="right"/>
              <w:ind w:right="101"/>
              <w:spacing w:after="0"/>
              <w:rPr>
                <w:sz w:val="20"/>
                <w:szCs w:val="20"/>
                <w:color w:val="auto"/>
              </w:rPr>
            </w:pPr>
            <w:r>
              <w:rPr>
                <w:rFonts w:ascii="Times New Roman" w:cs="Times New Roman" w:eastAsia="Times New Roman" w:hAnsi="Times New Roman"/>
                <w:sz w:val="18"/>
                <w:szCs w:val="18"/>
                <w:color w:val="auto"/>
              </w:rPr>
              <w:t>(99,395)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(97,912)</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(14,001)</w:t>
            </w:r>
          </w:p>
        </w:tc>
        <w:tc>
          <w:tcPr>
            <w:tcW w:w="0" w:type="dxa"/>
            <w:vAlign w:val="bottom"/>
          </w:tcPr>
          <w:p>
            <w:pPr>
              <w:spacing w:after="0"/>
              <w:rPr>
                <w:sz w:val="1"/>
                <w:szCs w:val="1"/>
                <w:color w:val="auto"/>
              </w:rPr>
            </w:pPr>
          </w:p>
        </w:tc>
      </w:tr>
      <w:tr>
        <w:trPr>
          <w:trHeight w:val="249"/>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gridSpan w:val="5"/>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(1,715,536)</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(1,762,180)</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(251,988)</w:t>
            </w: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w w:val="99"/>
              </w:rPr>
              <w:t>Total shareholders’ deficit attributable to ordinary shareholders of Yimutian Inc.</w:t>
            </w: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(1,767,894)</w:t>
            </w: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(191,426)</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(27,372)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30,213</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29,208</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4,177</w:t>
            </w:r>
          </w:p>
        </w:tc>
        <w:tc>
          <w:tcPr>
            <w:tcW w:w="0" w:type="dxa"/>
            <w:vAlign w:val="bottom"/>
          </w:tcPr>
          <w:p>
            <w:pPr>
              <w:spacing w:after="0"/>
              <w:rPr>
                <w:sz w:val="1"/>
                <w:szCs w:val="1"/>
                <w:color w:val="auto"/>
              </w:rPr>
            </w:pPr>
          </w:p>
        </w:tc>
      </w:tr>
      <w:tr>
        <w:trPr>
          <w:trHeight w:val="278"/>
        </w:trPr>
        <w:tc>
          <w:tcPr>
            <w:tcW w:w="628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820" w:type="dxa"/>
            <w:vAlign w:val="bottom"/>
            <w:tcBorders>
              <w:top w:val="single" w:sz="8" w:color="CCEEFF"/>
              <w:bottom w:val="single" w:sz="8" w:color="CCEEFF"/>
            </w:tcBorders>
          </w:tcPr>
          <w:p>
            <w:pPr>
              <w:spacing w:after="0"/>
              <w:rPr>
                <w:sz w:val="24"/>
                <w:szCs w:val="24"/>
                <w:color w:val="auto"/>
              </w:rPr>
            </w:pPr>
          </w:p>
        </w:tc>
        <w:tc>
          <w:tcPr>
            <w:tcW w:w="140" w:type="dxa"/>
            <w:vAlign w:val="bottom"/>
            <w:tcBorders>
              <w:top w:val="single" w:sz="8" w:color="CCEEFF"/>
              <w:bottom w:val="single" w:sz="8" w:color="CCEEFF"/>
            </w:tcBorders>
          </w:tcPr>
          <w:p>
            <w:pPr>
              <w:spacing w:after="0"/>
              <w:rPr>
                <w:sz w:val="24"/>
                <w:szCs w:val="24"/>
                <w:color w:val="auto"/>
              </w:rPr>
            </w:pPr>
          </w:p>
        </w:tc>
        <w:tc>
          <w:tcPr>
            <w:tcW w:w="80" w:type="dxa"/>
            <w:vAlign w:val="bottom"/>
            <w:tcBorders>
              <w:top w:val="single" w:sz="8" w:color="CCEEFF"/>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(1,737,681</w:t>
            </w:r>
          </w:p>
        </w:tc>
        <w:tc>
          <w:tcPr>
            <w:tcW w:w="240" w:type="dxa"/>
            <w:vAlign w:val="bottom"/>
            <w:tcBorders>
              <w:top w:val="single" w:sz="8" w:color="CCEEFF"/>
              <w:bottom w:val="single" w:sz="8" w:color="CCEEFF"/>
            </w:tcBorders>
            <w:gridSpan w:val="2"/>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(162,218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(23,195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8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45,539</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403,575</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(b) Condensed Statements of Comprehensive Loss</w:t>
            </w: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28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Pr>
          <w:p>
            <w:pPr>
              <w:spacing w:after="0"/>
              <w:rPr>
                <w:sz w:val="20"/>
                <w:szCs w:val="20"/>
                <w:color w:val="auto"/>
              </w:rPr>
            </w:pPr>
          </w:p>
        </w:tc>
        <w:tc>
          <w:tcPr>
            <w:tcW w:w="12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540" w:type="dxa"/>
            <w:vAlign w:val="bottom"/>
            <w:tcBorders>
              <w:top w:val="single" w:sz="8" w:color="auto"/>
            </w:tcBorders>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RMB</w:t>
            </w: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(9,753)</w:t>
            </w:r>
          </w:p>
        </w:tc>
        <w:tc>
          <w:tcPr>
            <w:tcW w:w="1460" w:type="dxa"/>
            <w:vAlign w:val="bottom"/>
            <w:gridSpan w:val="5"/>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(28,519)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of losses from subsidiaries and VIEs</w:t>
            </w: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(90,140)</w:t>
            </w:r>
          </w:p>
        </w:tc>
        <w:tc>
          <w:tcPr>
            <w:tcW w:w="1460" w:type="dxa"/>
            <w:vAlign w:val="bottom"/>
            <w:gridSpan w:val="5"/>
          </w:tcPr>
          <w:p>
            <w:pPr>
              <w:jc w:val="right"/>
              <w:ind w:right="81"/>
              <w:spacing w:after="0"/>
              <w:rPr>
                <w:sz w:val="20"/>
                <w:szCs w:val="20"/>
                <w:color w:val="auto"/>
              </w:rPr>
            </w:pPr>
            <w:r>
              <w:rPr>
                <w:rFonts w:ascii="Times New Roman" w:cs="Times New Roman" w:eastAsia="Times New Roman" w:hAnsi="Times New Roman"/>
                <w:sz w:val="18"/>
                <w:szCs w:val="18"/>
                <w:color w:val="auto"/>
              </w:rPr>
              <w:t>(34,860)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(18,125)</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financial liabilities</w:t>
            </w: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(3,728)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derecognition of financial liabilities</w:t>
            </w: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(1,989)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(105,610)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(46,644)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Yimutian Inc.</w:t>
            </w: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(105,610)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(46,644)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(21,566)</w:t>
            </w:r>
          </w:p>
        </w:tc>
        <w:tc>
          <w:tcPr>
            <w:tcW w:w="1460" w:type="dxa"/>
            <w:vAlign w:val="bottom"/>
            <w:gridSpan w:val="5"/>
          </w:tcPr>
          <w:p>
            <w:pPr>
              <w:jc w:val="right"/>
              <w:ind w:right="81"/>
              <w:spacing w:after="0"/>
              <w:rPr>
                <w:sz w:val="20"/>
                <w:szCs w:val="20"/>
                <w:color w:val="auto"/>
              </w:rPr>
            </w:pPr>
            <w:r>
              <w:rPr>
                <w:rFonts w:ascii="Times New Roman" w:cs="Times New Roman" w:eastAsia="Times New Roman" w:hAnsi="Times New Roman"/>
                <w:sz w:val="18"/>
                <w:szCs w:val="18"/>
                <w:color w:val="auto"/>
              </w:rPr>
              <w:t>(432)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1,483</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(127,176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(35,332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(45,161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 Condensed Statements of Cash Flows</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Pr>
          <w:p>
            <w:pPr>
              <w:spacing w:after="0"/>
              <w:rPr>
                <w:sz w:val="20"/>
                <w:szCs w:val="20"/>
                <w:color w:val="auto"/>
              </w:rPr>
            </w:pPr>
          </w:p>
        </w:tc>
        <w:tc>
          <w:tcPr>
            <w:tcW w:w="12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540" w:type="dxa"/>
            <w:vAlign w:val="bottom"/>
            <w:tcBorders>
              <w:top w:val="single" w:sz="8" w:color="auto"/>
            </w:tcBorders>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RMB</w:t>
            </w: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(4,916)</w:t>
            </w:r>
          </w:p>
        </w:tc>
        <w:tc>
          <w:tcPr>
            <w:tcW w:w="1460" w:type="dxa"/>
            <w:vAlign w:val="bottom"/>
            <w:gridSpan w:val="5"/>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(31,354)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(29,924)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(7,083)</w:t>
            </w:r>
          </w:p>
        </w:tc>
        <w:tc>
          <w:tcPr>
            <w:tcW w:w="146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149</w:t>
            </w:r>
          </w:p>
        </w:tc>
        <w:tc>
          <w:tcPr>
            <w:tcW w:w="15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12,508</w:t>
            </w:r>
          </w:p>
        </w:tc>
        <w:tc>
          <w:tcPr>
            <w:tcW w:w="1460" w:type="dxa"/>
            <w:vAlign w:val="bottom"/>
            <w:gridSpan w:val="5"/>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30,995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134,555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19,241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w:t>
            </w: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(202)</w:t>
            </w:r>
          </w:p>
        </w:tc>
        <w:tc>
          <w:tcPr>
            <w:tcW w:w="1460" w:type="dxa"/>
            <w:vAlign w:val="bottom"/>
            <w:gridSpan w:val="5"/>
          </w:tcPr>
          <w:p>
            <w:pPr>
              <w:jc w:val="right"/>
              <w:ind w:right="81"/>
              <w:spacing w:after="0"/>
              <w:rPr>
                <w:sz w:val="20"/>
                <w:szCs w:val="20"/>
                <w:color w:val="auto"/>
              </w:rPr>
            </w:pPr>
            <w:r>
              <w:rPr>
                <w:rFonts w:ascii="Times New Roman" w:cs="Times New Roman" w:eastAsia="Times New Roman" w:hAnsi="Times New Roman"/>
                <w:sz w:val="18"/>
                <w:szCs w:val="18"/>
                <w:color w:val="auto"/>
              </w:rPr>
              <w:t>(157)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1,537</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w:t>
            </w: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307</w:t>
            </w:r>
          </w:p>
        </w:tc>
        <w:tc>
          <w:tcPr>
            <w:tcW w:w="1460" w:type="dxa"/>
            <w:vAlign w:val="bottom"/>
            <w:gridSpan w:val="5"/>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106,168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15,182</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the beginning of the year</w:t>
            </w: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189</w:t>
            </w:r>
          </w:p>
        </w:tc>
        <w:tc>
          <w:tcPr>
            <w:tcW w:w="146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496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the end of the year</w:t>
            </w: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496</w:t>
            </w:r>
          </w:p>
        </w:tc>
        <w:tc>
          <w:tcPr>
            <w:tcW w:w="1460" w:type="dxa"/>
            <w:vAlign w:val="bottom"/>
            <w:gridSpan w:val="5"/>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106,297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15,200</w:t>
            </w:r>
          </w:p>
        </w:tc>
        <w:tc>
          <w:tcPr>
            <w:tcW w:w="0" w:type="dxa"/>
            <w:vAlign w:val="bottom"/>
          </w:tcPr>
          <w:p>
            <w:pPr>
              <w:spacing w:after="0"/>
              <w:rPr>
                <w:sz w:val="1"/>
                <w:szCs w:val="1"/>
                <w:color w:val="auto"/>
              </w:rPr>
            </w:pPr>
          </w:p>
        </w:tc>
      </w:tr>
      <w:tr>
        <w:trPr>
          <w:trHeight w:val="655"/>
        </w:trPr>
        <w:tc>
          <w:tcPr>
            <w:tcW w:w="628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8"/>
                <w:szCs w:val="18"/>
                <w:color w:val="auto"/>
              </w:rPr>
              <w:t>F-50</w:t>
            </w: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Jinhong Deng, certify that:</w:t>
      </w:r>
    </w:p>
    <w:p>
      <w:pPr>
        <w:spacing w:after="0" w:line="225" w:lineRule="exact"/>
        <w:rPr>
          <w:sz w:val="20"/>
          <w:szCs w:val="20"/>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Yimutian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18, 2026</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Jinhong Deng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Jinhong Deng</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117"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Shijie Chen, certify that:</w:t>
      </w:r>
    </w:p>
    <w:p>
      <w:pPr>
        <w:spacing w:after="0" w:line="225" w:lineRule="exact"/>
        <w:rPr>
          <w:sz w:val="20"/>
          <w:szCs w:val="20"/>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Yimutian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18,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Shijie Chen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Shijie Chen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Yimutian Inc. (the “Company”) on Form 20-F for the year ended December 31, 2025 as filed with the Securities and Exchange Commission on the date hereof (the “Report”), I, Jinhong Deng,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1300" w:hanging="64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18, 2026</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Jinhong Deng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Jinhong Deng</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117"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Yimutian Inc. (the “Company”) on Form 20-F for the year ended December 31, 2025 as filed with the Securities and Exchange Commission on the date hereof (the “Report”), I, Shijie Chen,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1300" w:hanging="64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18,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Shijie Chen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Shijie Chen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1."/>
      <w:numFmt w:val="decimal"/>
      <w:start w:val="3"/>
    </w:lvl>
  </w:abstractNum>
  <w:abstractNum w:abstractNumId="8">
    <w:nsid w:val="5FF87E05"/>
    <w:multiLevelType w:val="hybridMultilevel"/>
    <w:lvl w:ilvl="0">
      <w:lvlJc w:val="left"/>
      <w:lvlText w:val="(%1)"/>
      <w:numFmt w:val="decimal"/>
      <w:start w:val="1"/>
    </w:lvl>
  </w:abstractNum>
  <w:abstractNum w:abstractNumId="9">
    <w:nsid w:val="2F305DEF"/>
    <w:multiLevelType w:val="hybridMultilevel"/>
    <w:lvl w:ilvl="0">
      <w:lvlJc w:val="left"/>
      <w:lvlText w:val="(%1)"/>
      <w:numFmt w:val="decimal"/>
      <w:start w:val="1"/>
    </w:lvl>
  </w:abstractNum>
  <w:abstractNum w:abstractNumId="10">
    <w:nsid w:val="25A70BF7"/>
    <w:multiLevelType w:val="hybridMultilevel"/>
    <w:lvl w:ilvl="0">
      <w:lvlJc w:val="left"/>
      <w:lvlText w:val="(%1)"/>
      <w:numFmt w:val="decimal"/>
      <w:start w:val="3"/>
    </w:lvl>
  </w:abstractNum>
  <w:abstractNum w:abstractNumId="11">
    <w:nsid w:val="1DBABF00"/>
    <w:multiLevelType w:val="hybridMultilevel"/>
    <w:lvl w:ilvl="0">
      <w:lvlJc w:val="left"/>
      <w:lvlText w:val="%1."/>
      <w:numFmt w:val="upperLetter"/>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1)"/>
      <w:numFmt w:val="lowerRoman"/>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1)"/>
      <w:numFmt w:val="lowerRoman"/>
      <w:start w:val="3"/>
    </w:lvl>
  </w:abstractNum>
  <w:abstractNum w:abstractNumId="34">
    <w:nsid w:val="42963E5A"/>
    <w:multiLevelType w:val="hybridMultilevel"/>
    <w:lvl w:ilvl="0">
      <w:lvlJc w:val="left"/>
      <w:lvlText w:val="(%1)"/>
      <w:numFmt w:val="lowerRoman"/>
      <w:start w:val="1"/>
    </w:lvl>
  </w:abstractNum>
  <w:abstractNum w:abstractNumId="35">
    <w:nsid w:val="A0382C5"/>
    <w:multiLevelType w:val="hybridMultilevel"/>
    <w:lvl w:ilvl="0">
      <w:lvlJc w:val="left"/>
      <w:lvlText w:val="(%1)"/>
      <w:numFmt w:val="lowerRoman"/>
      <w:start w:val="6"/>
    </w:lvl>
  </w:abstractNum>
  <w:abstractNum w:abstractNumId="36">
    <w:nsid w:val="8F2B15E"/>
    <w:multiLevelType w:val="hybridMultilevel"/>
    <w:lvl w:ilvl="0">
      <w:lvlJc w:val="left"/>
      <w:lvlText w:val="●"/>
      <w:numFmt w:val="bullet"/>
      <w:start w:val="1"/>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1)"/>
      <w:numFmt w:val="lowerRoman"/>
      <w:start w:val="8"/>
    </w:lvl>
  </w:abstractNum>
  <w:abstractNum w:abstractNumId="41">
    <w:nsid w:val="60B6DF70"/>
    <w:multiLevelType w:val="hybridMultilevel"/>
    <w:lvl w:ilvl="0">
      <w:lvlJc w:val="left"/>
      <w:lvlText w:val="(%1)"/>
      <w:numFmt w:val="lowerRoman"/>
      <w:start w:val="2"/>
    </w:lvl>
  </w:abstractNum>
  <w:abstractNum w:abstractNumId="42">
    <w:nsid w:val="6A5EE64"/>
    <w:multiLevelType w:val="hybridMultilevel"/>
    <w:lvl w:ilvl="0">
      <w:lvlJc w:val="left"/>
      <w:lvlText w:val="(%1)"/>
      <w:numFmt w:val="lowerRoman"/>
      <w:start w:val="3"/>
    </w:lvl>
  </w:abstractNum>
  <w:abstractNum w:abstractNumId="43">
    <w:nsid w:val="14330624"/>
    <w:multiLevelType w:val="hybridMultilevel"/>
    <w:lvl w:ilvl="0">
      <w:lvlJc w:val="left"/>
      <w:lvlText w:val="(%1)"/>
      <w:numFmt w:val="lowerRoman"/>
      <w:start w:val="4"/>
    </w:lvl>
  </w:abstractNum>
  <w:abstractNum w:abstractNumId="44">
    <w:nsid w:val="7FFFCA11"/>
    <w:multiLevelType w:val="hybridMultilevel"/>
    <w:lvl w:ilvl="0">
      <w:lvlJc w:val="left"/>
      <w:lvlText w:val="(%1)"/>
      <w:numFmt w:val="lowerRoman"/>
      <w:start w:val="2"/>
    </w:lvl>
  </w:abstractNum>
  <w:abstractNum w:abstractNumId="45">
    <w:nsid w:val="1A27709E"/>
    <w:multiLevelType w:val="hybridMultilevel"/>
    <w:lvl w:ilvl="0">
      <w:lvlJc w:val="left"/>
      <w:lvlText w:val="(%1)"/>
      <w:numFmt w:val="decimal"/>
      <w:start w:val="1"/>
    </w:lvl>
  </w:abstractNum>
  <w:abstractNum w:abstractNumId="46">
    <w:nsid w:val="71EA1109"/>
    <w:multiLevelType w:val="hybridMultilevel"/>
    <w:lvl w:ilvl="0">
      <w:lvlJc w:val="left"/>
      <w:lvlText w:val="(%1)"/>
      <w:numFmt w:val="lowerRoman"/>
      <w:start w:val="2"/>
    </w:lvl>
  </w:abstractNum>
  <w:abstractNum w:abstractNumId="47">
    <w:nsid w:val="100F59DC"/>
    <w:multiLevelType w:val="hybridMultilevel"/>
    <w:lvl w:ilvl="0">
      <w:lvlJc w:val="left"/>
      <w:lvlText w:val="●"/>
      <w:numFmt w:val="bullet"/>
      <w:start w:val="1"/>
    </w:lvl>
  </w:abstractNum>
  <w:abstractNum w:abstractNumId="48">
    <w:nsid w:val="7FB7E0AA"/>
    <w:multiLevelType w:val="hybridMultilevel"/>
    <w:lvl w:ilvl="0">
      <w:lvlJc w:val="left"/>
      <w:lvlText w:val="●"/>
      <w:numFmt w:val="bullet"/>
      <w:start w:val="1"/>
    </w:lvl>
  </w:abstractNum>
  <w:abstractNum w:abstractNumId="49">
    <w:nsid w:val="6EB5BD4"/>
    <w:multiLevelType w:val="hybridMultilevel"/>
    <w:lvl w:ilvl="0">
      <w:lvlJc w:val="left"/>
      <w:lvlText w:val="●"/>
      <w:numFmt w:val="bullet"/>
      <w:start w:val="1"/>
    </w:lvl>
  </w:abstractNum>
  <w:abstractNum w:abstractNumId="50">
    <w:nsid w:val="6F6DD9AC"/>
    <w:multiLevelType w:val="hybridMultilevel"/>
    <w:lvl w:ilvl="0">
      <w:lvlJc w:val="left"/>
      <w:lvlText w:val="(%1)"/>
      <w:numFmt w:val="lowerRoman"/>
      <w:start w:val="2"/>
    </w:lvl>
  </w:abstractNum>
  <w:abstractNum w:abstractNumId="51">
    <w:nsid w:val="94211F2"/>
    <w:multiLevelType w:val="hybridMultilevel"/>
    <w:lvl w:ilvl="0">
      <w:lvlJc w:val="left"/>
      <w:lvlText w:val="(%1)"/>
      <w:numFmt w:val="lowerRoman"/>
      <w:start w:val="2"/>
    </w:lvl>
  </w:abstractNum>
  <w:abstractNum w:abstractNumId="52">
    <w:nsid w:val="885E1B"/>
    <w:multiLevelType w:val="hybridMultilevel"/>
    <w:lvl w:ilvl="0">
      <w:lvlJc w:val="left"/>
      <w:lvlText w:val="●"/>
      <w:numFmt w:val="bullet"/>
      <w:start w:val="1"/>
    </w:lvl>
  </w:abstractNum>
  <w:abstractNum w:abstractNumId="53">
    <w:nsid w:val="76272110"/>
    <w:multiLevelType w:val="hybridMultilevel"/>
    <w:lvl w:ilvl="0">
      <w:lvlJc w:val="left"/>
      <w:lvlText w:val="网"/>
      <w:numFmt w:val="bullet"/>
      <w:start w:val="1"/>
    </w:lvl>
  </w:abstractNum>
  <w:abstractNum w:abstractNumId="54">
    <w:nsid w:val="4C04A8AF"/>
    <w:multiLevelType w:val="hybridMultilevel"/>
    <w:lvl w:ilvl="0">
      <w:lvlJc w:val="left"/>
      <w:lvlText w:val="(%1)"/>
      <w:numFmt w:val="lowerRoman"/>
      <w:start w:val="2"/>
    </w:lvl>
  </w:abstractNum>
  <w:abstractNum w:abstractNumId="55">
    <w:nsid w:val="1716703B"/>
    <w:multiLevelType w:val="hybridMultilevel"/>
    <w:lvl w:ilvl="0">
      <w:lvlJc w:val="left"/>
      <w:lvlText w:val="%1."/>
      <w:numFmt w:val="upperLetter"/>
      <w:start w:val="3"/>
    </w:lvl>
  </w:abstractNum>
  <w:abstractNum w:abstractNumId="56">
    <w:nsid w:val="14E17E33"/>
    <w:multiLevelType w:val="hybridMultilevel"/>
    <w:lvl w:ilvl="0">
      <w:lvlJc w:val="left"/>
      <w:lvlText w:val="●"/>
      <w:numFmt w:val="bullet"/>
      <w:start w:val="1"/>
    </w:lvl>
  </w:abstractNum>
  <w:abstractNum w:abstractNumId="57">
    <w:nsid w:val="3222E7CD"/>
    <w:multiLevelType w:val="hybridMultilevel"/>
    <w:lvl w:ilvl="0">
      <w:lvlJc w:val="left"/>
      <w:lvlText w:val="●"/>
      <w:numFmt w:val="bullet"/>
      <w:start w:val="1"/>
    </w:lvl>
  </w:abstractNum>
  <w:abstractNum w:abstractNumId="58">
    <w:nsid w:val="74DE0EE3"/>
    <w:multiLevelType w:val="hybridMultilevel"/>
    <w:lvl w:ilvl="0">
      <w:lvlJc w:val="left"/>
      <w:lvlText w:val="●"/>
      <w:numFmt w:val="bullet"/>
      <w:start w:val="1"/>
    </w:lvl>
  </w:abstractNum>
  <w:abstractNum w:abstractNumId="59">
    <w:nsid w:val="68EBC550"/>
    <w:multiLevelType w:val="hybridMultilevel"/>
    <w:lvl w:ilvl="0">
      <w:lvlJc w:val="left"/>
      <w:lvlText w:val="(%1)"/>
      <w:numFmt w:val="lowerRoman"/>
      <w:start w:val="1"/>
    </w:lvl>
  </w:abstractNum>
  <w:abstractNum w:abstractNumId="60">
    <w:nsid w:val="2DF6D648"/>
    <w:multiLevelType w:val="hybridMultilevel"/>
    <w:lvl w:ilvl="0">
      <w:lvlJc w:val="left"/>
      <w:lvlText w:val="(%1)"/>
      <w:numFmt w:val="lowerRoman"/>
      <w:start w:val="5"/>
    </w:lvl>
  </w:abstractNum>
  <w:abstractNum w:abstractNumId="61">
    <w:nsid w:val="46B7D447"/>
    <w:multiLevelType w:val="hybridMultilevel"/>
    <w:lvl w:ilvl="0">
      <w:lvlJc w:val="left"/>
      <w:lvlText w:val="%1."/>
      <w:numFmt w:val="upperLetter"/>
      <w:start w:val="4"/>
    </w:lvl>
  </w:abstractNum>
  <w:abstractNum w:abstractNumId="62">
    <w:nsid w:val="4A2AC315"/>
    <w:multiLevelType w:val="hybridMultilevel"/>
    <w:lvl w:ilvl="0">
      <w:lvlJc w:val="left"/>
      <w:lvlText w:val="●"/>
      <w:numFmt w:val="bullet"/>
      <w:start w:val="1"/>
    </w:lvl>
  </w:abstractNum>
  <w:abstractNum w:abstractNumId="63">
    <w:nsid w:val="39EE015C"/>
    <w:multiLevelType w:val="hybridMultilevel"/>
    <w:lvl w:ilvl="0">
      <w:lvlJc w:val="left"/>
      <w:lvlText w:val="*"/>
      <w:numFmt w:val="bullet"/>
      <w:start w:val="1"/>
    </w:lvl>
  </w:abstractNum>
  <w:abstractNum w:abstractNumId="64">
    <w:nsid w:val="57FC4FBB"/>
    <w:multiLevelType w:val="hybridMultilevel"/>
    <w:lvl w:ilvl="0">
      <w:lvlJc w:val="left"/>
      <w:lvlText w:val="†"/>
      <w:numFmt w:val="bullet"/>
      <w:start w:val="1"/>
    </w:lvl>
  </w:abstractNum>
  <w:abstractNum w:abstractNumId="65">
    <w:nsid w:val="CC1016F"/>
    <w:multiLevelType w:val="hybridMultilevel"/>
    <w:lvl w:ilvl="0">
      <w:lvlJc w:val="left"/>
      <w:lvlText w:val="††"/>
      <w:numFmt w:val="bullet"/>
      <w:start w:val="1"/>
    </w:lvl>
  </w:abstractNum>
  <w:abstractNum w:abstractNumId="66">
    <w:nsid w:val="43F18422"/>
    <w:multiLevelType w:val="hybridMultilevel"/>
    <w:lvl w:ilvl="0">
      <w:lvlJc w:val="left"/>
      <w:lvlText w:val="†††"/>
      <w:numFmt w:val="bullet"/>
      <w:start w:val="1"/>
    </w:lvl>
  </w:abstractNum>
  <w:abstractNum w:abstractNumId="67">
    <w:nsid w:val="60EF0119"/>
    <w:multiLevelType w:val="hybridMultilevel"/>
    <w:lvl w:ilvl="0">
      <w:lvlJc w:val="left"/>
      <w:lvlText w:val="(%1)"/>
      <w:numFmt w:val="decimal"/>
      <w:start w:val="1"/>
    </w:lvl>
  </w:abstractNum>
  <w:abstractNum w:abstractNumId="68">
    <w:nsid w:val="26F324BA"/>
    <w:multiLevelType w:val="hybridMultilevel"/>
    <w:lvl w:ilvl="0">
      <w:lvlJc w:val="left"/>
      <w:lvlText w:val="(%1)"/>
      <w:numFmt w:val="decimal"/>
      <w:start w:val="8"/>
    </w:lvl>
  </w:abstractNum>
  <w:abstractNum w:abstractNumId="69">
    <w:nsid w:val="7F01579B"/>
    <w:multiLevelType w:val="hybridMultilevel"/>
    <w:lvl w:ilvl="0">
      <w:lvlJc w:val="left"/>
      <w:lvlText w:val="%1."/>
      <w:numFmt w:val="upperLetter"/>
      <w:start w:val="6"/>
    </w:lvl>
  </w:abstractNum>
  <w:abstractNum w:abstractNumId="70">
    <w:nsid w:val="49DA307D"/>
    <w:multiLevelType w:val="hybridMultilevel"/>
    <w:lvl w:ilvl="0">
      <w:lvlJc w:val="left"/>
      <w:lvlText w:val="(%1)"/>
      <w:numFmt w:val="lowerRoman"/>
      <w:start w:val="2"/>
    </w:lvl>
  </w:abstractNum>
  <w:abstractNum w:abstractNumId="71">
    <w:nsid w:val="7055A5F5"/>
    <w:multiLevelType w:val="hybridMultilevel"/>
    <w:lvl w:ilvl="0">
      <w:lvlJc w:val="left"/>
      <w:lvlText w:val="%1."/>
      <w:numFmt w:val="upperLetter"/>
      <w:start w:val="3"/>
    </w:lvl>
  </w:abstractNum>
  <w:abstractNum w:abstractNumId="72">
    <w:nsid w:val="5FB8370B"/>
    <w:multiLevelType w:val="hybridMultilevel"/>
    <w:lvl w:ilvl="0">
      <w:lvlJc w:val="left"/>
      <w:lvlText w:val="%1."/>
      <w:numFmt w:val="upperLetter"/>
      <w:start w:val="1"/>
    </w:lvl>
  </w:abstractNum>
  <w:abstractNum w:abstractNumId="73">
    <w:nsid w:val="50801EE1"/>
    <w:multiLevelType w:val="hybridMultilevel"/>
    <w:lvl w:ilvl="0">
      <w:lvlJc w:val="left"/>
      <w:lvlText w:val="%1."/>
      <w:numFmt w:val="upperLetter"/>
      <w:start w:val="4"/>
    </w:lvl>
  </w:abstractNum>
  <w:abstractNum w:abstractNumId="74">
    <w:nsid w:val="488AC1A"/>
    <w:multiLevelType w:val="hybridMultilevel"/>
    <w:lvl w:ilvl="0">
      <w:lvlJc w:val="left"/>
      <w:lvlText w:val="%1."/>
      <w:numFmt w:val="upperLetter"/>
      <w:start w:val="6"/>
    </w:lvl>
  </w:abstractNum>
  <w:abstractNum w:abstractNumId="75">
    <w:nsid w:val="5FB8011C"/>
    <w:multiLevelType w:val="hybridMultilevel"/>
    <w:lvl w:ilvl="0">
      <w:lvlJc w:val="left"/>
      <w:lvlText w:val="%1."/>
      <w:numFmt w:val="upperLetter"/>
      <w:start w:val="1"/>
    </w:lvl>
  </w:abstractNum>
  <w:abstractNum w:abstractNumId="76">
    <w:nsid w:val="6AA78F7F"/>
    <w:multiLevelType w:val="hybridMultilevel"/>
    <w:lvl w:ilvl="0">
      <w:lvlJc w:val="left"/>
      <w:lvlText w:val="●"/>
      <w:numFmt w:val="bullet"/>
      <w:start w:val="1"/>
    </w:lvl>
  </w:abstractNum>
  <w:abstractNum w:abstractNumId="77">
    <w:nsid w:val="7672BD23"/>
    <w:multiLevelType w:val="hybridMultilevel"/>
    <w:lvl w:ilvl="0">
      <w:lvlJc w:val="left"/>
      <w:lvlText w:val="●"/>
      <w:numFmt w:val="bullet"/>
      <w:start w:val="1"/>
    </w:lvl>
  </w:abstractNum>
  <w:abstractNum w:abstractNumId="78">
    <w:nsid w:val="6FC75AF8"/>
    <w:multiLevelType w:val="hybridMultilevel"/>
    <w:lvl w:ilvl="0">
      <w:lvlJc w:val="left"/>
      <w:lvlText w:val="●"/>
      <w:numFmt w:val="bullet"/>
      <w:start w:val="1"/>
    </w:lvl>
  </w:abstractNum>
  <w:abstractNum w:abstractNumId="79">
    <w:nsid w:val="6A5F7029"/>
    <w:multiLevelType w:val="hybridMultilevel"/>
    <w:lvl w:ilvl="0">
      <w:lvlJc w:val="left"/>
      <w:lvlText w:val="●"/>
      <w:numFmt w:val="bullet"/>
      <w:start w:val="1"/>
    </w:lvl>
  </w:abstractNum>
  <w:abstractNum w:abstractNumId="80">
    <w:nsid w:val="7D5E18F8"/>
    <w:multiLevelType w:val="hybridMultilevel"/>
    <w:lvl w:ilvl="0">
      <w:lvlJc w:val="left"/>
      <w:lvlText w:val="●"/>
      <w:numFmt w:val="bullet"/>
      <w:start w:val="1"/>
    </w:lvl>
  </w:abstractNum>
  <w:abstractNum w:abstractNumId="81">
    <w:nsid w:val="5F3534A4"/>
    <w:multiLevelType w:val="hybridMultilevel"/>
    <w:lvl w:ilvl="0">
      <w:lvlJc w:val="left"/>
      <w:lvlText w:val="●"/>
      <w:numFmt w:val="bullet"/>
      <w:start w:val="1"/>
    </w:lvl>
  </w:abstractNum>
  <w:abstractNum w:abstractNumId="82">
    <w:nsid w:val="73A1821B"/>
    <w:multiLevelType w:val="hybridMultilevel"/>
    <w:lvl w:ilvl="0">
      <w:lvlJc w:val="left"/>
      <w:lvlText w:val="●"/>
      <w:numFmt w:val="bullet"/>
      <w:start w:val="1"/>
    </w:lvl>
  </w:abstractNum>
  <w:abstractNum w:abstractNumId="83">
    <w:nsid w:val="7DE67713"/>
    <w:multiLevelType w:val="hybridMultilevel"/>
    <w:lvl w:ilvl="0">
      <w:lvlJc w:val="left"/>
      <w:lvlText w:val="(%1)"/>
      <w:numFmt w:val="lowerLetter"/>
      <w:start w:val="1"/>
    </w:lvl>
  </w:abstractNum>
  <w:abstractNum w:abstractNumId="84">
    <w:nsid w:val="555C55B5"/>
    <w:multiLevelType w:val="hybridMultilevel"/>
    <w:lvl w:ilvl="0">
      <w:lvlJc w:val="left"/>
      <w:lvlText w:val="(%1)"/>
      <w:numFmt w:val="lowerRoman"/>
      <w:start w:val="2"/>
    </w:lvl>
  </w:abstractNum>
  <w:abstractNum w:abstractNumId="85">
    <w:nsid w:val="3FA62ACA"/>
    <w:multiLevelType w:val="hybridMultilevel"/>
    <w:lvl w:ilvl="0">
      <w:lvlJc w:val="left"/>
      <w:lvlText w:val="●"/>
      <w:numFmt w:val="bullet"/>
      <w:start w:val="1"/>
    </w:lvl>
  </w:abstractNum>
  <w:abstractNum w:abstractNumId="86">
    <w:nsid w:val="14FCE74E"/>
    <w:multiLevelType w:val="hybridMultilevel"/>
    <w:lvl w:ilvl="0">
      <w:lvlJc w:val="left"/>
      <w:lvlText w:val="●"/>
      <w:numFmt w:val="bullet"/>
      <w:start w:val="1"/>
    </w:lvl>
  </w:abstractNum>
  <w:abstractNum w:abstractNumId="87">
    <w:nsid w:val="6A3DD3E8"/>
    <w:multiLevelType w:val="hybridMultilevel"/>
    <w:lvl w:ilvl="0">
      <w:lvlJc w:val="left"/>
      <w:lvlText w:val="(%1)"/>
      <w:numFmt w:val="decimal"/>
      <w:start w:val="2"/>
    </w:lvl>
  </w:abstractNum>
  <w:abstractNum w:abstractNumId="88">
    <w:nsid w:val="71C91298"/>
    <w:multiLevelType w:val="hybridMultilevel"/>
    <w:lvl w:ilvl="0">
      <w:lvlJc w:val="left"/>
      <w:lvlText w:val="●"/>
      <w:numFmt w:val="bullet"/>
      <w:start w:val="1"/>
    </w:lvl>
  </w:abstractNum>
  <w:abstractNum w:abstractNumId="89">
    <w:nsid w:val="9DAF632"/>
    <w:multiLevelType w:val="hybridMultilevel"/>
    <w:lvl w:ilvl="0">
      <w:lvlJc w:val="left"/>
      <w:lvlText w:val="%1."/>
      <w:numFmt w:val="upperLetter"/>
      <w:start w:val="6"/>
    </w:lvl>
  </w:abstractNum>
  <w:abstractNum w:abstractNumId="90">
    <w:nsid w:val="53299938"/>
    <w:multiLevelType w:val="hybridMultilevel"/>
    <w:lvl w:ilvl="0">
      <w:lvlJc w:val="left"/>
      <w:lvlText w:val="%1."/>
      <w:numFmt w:val="upperLetter"/>
      <w:start w:val="9"/>
    </w:lvl>
  </w:abstractNum>
  <w:abstractNum w:abstractNumId="91">
    <w:nsid w:val="1FBFE8E0"/>
    <w:multiLevelType w:val="hybridMultilevel"/>
    <w:lvl w:ilvl="0">
      <w:lvlJc w:val="left"/>
      <w:lvlText w:val="%1."/>
      <w:numFmt w:val="upperLetter"/>
      <w:start w:val="10"/>
    </w:lvl>
  </w:abstractNum>
  <w:abstractNum w:abstractNumId="92">
    <w:nsid w:val="5092CA79"/>
    <w:multiLevelType w:val="hybridMultilevel"/>
    <w:lvl w:ilvl="0">
      <w:lvlJc w:val="left"/>
      <w:lvlText w:val="%1."/>
      <w:numFmt w:val="upperLetter"/>
      <w:start w:val="1"/>
    </w:lvl>
  </w:abstractNum>
  <w:abstractNum w:abstractNumId="93">
    <w:nsid w:val="1D545C4D"/>
    <w:multiLevelType w:val="hybridMultilevel"/>
    <w:lvl w:ilvl="0">
      <w:lvlJc w:val="left"/>
      <w:lvlText w:val="%1."/>
      <w:numFmt w:val="upperLetter"/>
      <w:start w:val="3"/>
    </w:lvl>
  </w:abstractNum>
  <w:abstractNum w:abstractNumId="94">
    <w:nsid w:val="59ADEA3D"/>
    <w:multiLevelType w:val="hybridMultilevel"/>
    <w:lvl w:ilvl="0">
      <w:lvlJc w:val="left"/>
      <w:lvlText w:val="●"/>
      <w:numFmt w:val="bullet"/>
      <w:start w:val="1"/>
    </w:lvl>
  </w:abstractNum>
  <w:abstractNum w:abstractNumId="95">
    <w:nsid w:val="288F1A34"/>
    <w:multiLevelType w:val="hybridMultilevel"/>
    <w:lvl w:ilvl="0">
      <w:lvlJc w:val="left"/>
      <w:lvlText w:val="●"/>
      <w:numFmt w:val="bullet"/>
      <w:start w:val="1"/>
    </w:lvl>
  </w:abstractNum>
  <w:abstractNum w:abstractNumId="96">
    <w:nsid w:val="2A155DBC"/>
    <w:multiLevelType w:val="hybridMultilevel"/>
    <w:lvl w:ilvl="0">
      <w:lvlJc w:val="left"/>
      <w:lvlText w:val="(%1)"/>
      <w:numFmt w:val="decimal"/>
      <w:start w:val="1"/>
    </w:lvl>
  </w:abstractNum>
  <w:abstractNum w:abstractNumId="97">
    <w:nsid w:val="1D9F6E5F"/>
    <w:multiLevelType w:val="hybridMultilevel"/>
    <w:lvl w:ilvl="0">
      <w:lvlJc w:val="left"/>
      <w:lvlText w:val="*"/>
      <w:numFmt w:val="bullet"/>
      <w:start w:val="1"/>
    </w:lvl>
  </w:abstractNum>
  <w:abstractNum w:abstractNumId="98">
    <w:nsid w:val="97E1B4E"/>
    <w:multiLevelType w:val="hybridMultilevel"/>
    <w:lvl w:ilvl="0">
      <w:lvlJc w:val="left"/>
      <w:lvlText w:val="**"/>
      <w:numFmt w:val="bullet"/>
      <w:start w:val="1"/>
    </w:lvl>
  </w:abstractNum>
  <w:abstractNum w:abstractNumId="99">
    <w:nsid w:val="51088277"/>
    <w:multiLevelType w:val="hybridMultilevel"/>
    <w:lvl w:ilvl="0">
      <w:lvlJc w:val="left"/>
      <w:lvlText w:val="*"/>
      <w:numFmt w:val="bullet"/>
      <w:start w:val="1"/>
    </w:lvl>
  </w:abstractNum>
  <w:abstractNum w:abstractNumId="100">
    <w:nsid w:val="1CA0C5FA"/>
    <w:multiLevelType w:val="hybridMultilevel"/>
    <w:lvl w:ilvl="0">
      <w:lvlJc w:val="left"/>
      <w:lvlText w:val="*"/>
      <w:numFmt w:val="bullet"/>
      <w:start w:val="1"/>
    </w:lvl>
  </w:abstractNum>
  <w:abstractNum w:abstractNumId="101">
    <w:nsid w:val="53584BCB"/>
    <w:multiLevelType w:val="hybridMultilevel"/>
    <w:lvl w:ilvl="0">
      <w:lvlJc w:val="left"/>
      <w:lvlText w:val="●"/>
      <w:numFmt w:val="bullet"/>
      <w:start w:val="1"/>
    </w:lvl>
  </w:abstractNum>
  <w:abstractNum w:abstractNumId="102">
    <w:nsid w:val="415E286C"/>
    <w:multiLevelType w:val="hybridMultilevel"/>
    <w:lvl w:ilvl="0">
      <w:lvlJc w:val="left"/>
      <w:lvlText w:val="*"/>
      <w:numFmt w:val="bullet"/>
      <w:start w:val="1"/>
    </w:lvl>
  </w:abstractNum>
  <w:abstractNum w:abstractNumId="103">
    <w:nsid w:val="7C58FD05"/>
    <w:multiLevelType w:val="hybridMultilevel"/>
    <w:lvl w:ilvl="0">
      <w:lvlJc w:val="left"/>
      <w:lvlText w:val="**"/>
      <w:numFmt w:val="bullet"/>
      <w:start w:val="1"/>
    </w:lvl>
  </w:abstractNum>
  <w:abstractNum w:abstractNumId="104">
    <w:nsid w:val="23D86AAC"/>
    <w:multiLevelType w:val="hybridMultilevel"/>
    <w:lvl w:ilvl="0">
      <w:lvlJc w:val="left"/>
      <w:lvlText w:val="%1."/>
      <w:numFmt w:val="decimal"/>
      <w:start w:val="2"/>
    </w:lvl>
    <w:lvl w:ilvl="1">
      <w:lvlJc w:val="left"/>
      <w:lvlText w:val="●"/>
      <w:numFmt w:val="bullet"/>
      <w:start w:val="1"/>
    </w:lvl>
  </w:abstractNum>
  <w:abstractNum w:abstractNumId="105">
    <w:nsid w:val="45E6D486"/>
    <w:multiLevelType w:val="hybridMultilevel"/>
    <w:lvl w:ilvl="0">
      <w:lvlJc w:val="left"/>
      <w:lvlText w:val="%1."/>
      <w:numFmt w:val="decimal"/>
      <w:start w:val="4"/>
    </w:lvl>
  </w:abstractNum>
  <w:abstractNum w:abstractNumId="106">
    <w:nsid w:val="5C10FE21"/>
    <w:multiLevelType w:val="hybridMultilevel"/>
    <w:lvl w:ilvl="0">
      <w:lvlJc w:val="left"/>
      <w:lvlText w:val="●"/>
      <w:numFmt w:val="bullet"/>
      <w:start w:val="1"/>
    </w:lvl>
  </w:abstractNum>
  <w:abstractNum w:abstractNumId="107">
    <w:nsid w:val="E7FFA2B"/>
    <w:multiLevelType w:val="hybridMultilevel"/>
    <w:lvl w:ilvl="0">
      <w:lvlJc w:val="left"/>
      <w:lvlText w:val="*"/>
      <w:numFmt w:val="bullet"/>
      <w:start w:val="1"/>
    </w:lvl>
  </w:abstractNum>
  <w:abstractNum w:abstractNumId="108">
    <w:nsid w:val="3C5991AA"/>
    <w:multiLevelType w:val="hybridMultilevel"/>
    <w:lvl w:ilvl="0">
      <w:lvlJc w:val="left"/>
      <w:lvlText w:val="%1."/>
      <w:numFmt w:val="decimal"/>
      <w:start w:val="4"/>
    </w:lvl>
  </w:abstractNum>
  <w:abstractNum w:abstractNumId="109">
    <w:nsid w:val="4BD8591A"/>
    <w:multiLevelType w:val="hybridMultilevel"/>
    <w:lvl w:ilvl="0">
      <w:lvlJc w:val="left"/>
      <w:lvlText w:val="%1."/>
      <w:numFmt w:val="decimal"/>
      <w:start w:val="6"/>
    </w:lvl>
  </w:abstractNum>
  <w:abstractNum w:abstractNumId="110">
    <w:nsid w:val="78DF6A55"/>
    <w:multiLevelType w:val="hybridMultilevel"/>
    <w:lvl w:ilvl="0">
      <w:lvlJc w:val="left"/>
      <w:lvlText w:val="%1."/>
      <w:numFmt w:val="decimal"/>
      <w:start w:val="10"/>
    </w:lvl>
  </w:abstractNum>
  <w:abstractNum w:abstractNumId="111">
    <w:nsid w:val="39B7AAA2"/>
    <w:multiLevelType w:val="hybridMultilevel"/>
    <w:lvl w:ilvl="0">
      <w:lvlJc w:val="left"/>
      <w:lvlText w:val="●"/>
      <w:numFmt w:val="bullet"/>
      <w:start w:val="1"/>
    </w:lvl>
  </w:abstractNum>
  <w:abstractNum w:abstractNumId="112">
    <w:nsid w:val="2B0D8DBE"/>
    <w:multiLevelType w:val="hybridMultilevel"/>
    <w:lvl w:ilvl="0">
      <w:lvlJc w:val="left"/>
      <w:lvlText w:val="(%1)"/>
      <w:numFmt w:val="upperLetter"/>
      <w:start w:val="3"/>
    </w:lvl>
  </w:abstractNum>
  <w:abstractNum w:abstractNumId="113">
    <w:nsid w:val="6C80EC70"/>
    <w:multiLevelType w:val="hybridMultilevel"/>
    <w:lvl w:ilvl="0">
      <w:lvlJc w:val="left"/>
      <w:lvlText w:val="%1."/>
      <w:numFmt w:val="decimal"/>
      <w:start w:val="21"/>
    </w:lvl>
  </w:abstractNum>
  <w:abstractNum w:abstractNumId="114">
    <w:nsid w:val="379E21B5"/>
    <w:multiLevelType w:val="hybridMultilevel"/>
    <w:lvl w:ilvl="0">
      <w:lvlJc w:val="left"/>
      <w:lvlText w:val="(%1)"/>
      <w:numFmt w:val="lowerRoman"/>
      <w:start w:val="1"/>
    </w:lvl>
  </w:abstractNum>
  <w:abstractNum w:abstractNumId="115">
    <w:nsid w:val="69E373"/>
    <w:multiLevelType w:val="hybridMultilevel"/>
    <w:lvl w:ilvl="0">
      <w:lvlJc w:val="left"/>
      <w:lvlText w:val="(%1)"/>
      <w:numFmt w:val="lowerRoman"/>
      <w:start w:val="2"/>
    </w:lvl>
  </w:abstractNum>
  <w:abstractNum w:abstractNumId="116">
    <w:nsid w:val="2C27173B"/>
    <w:multiLevelType w:val="hybridMultilevel"/>
    <w:lvl w:ilvl="0">
      <w:lvlJc w:val="left"/>
      <w:lvlText w:val="%1."/>
      <w:numFmt w:val="decimal"/>
      <w:start w:val="1"/>
    </w:lvl>
    <w:lvl w:ilvl="1">
      <w:lvlJc w:val="left"/>
      <w:lvlText w:val="(%2)"/>
      <w:numFmt w:val="lowerLetter"/>
      <w:start w:val="1"/>
    </w:lvl>
  </w:abstractNum>
  <w:abstractNum w:abstractNumId="117">
    <w:nsid w:val="4C9B0904"/>
    <w:multiLevelType w:val="hybridMultilevel"/>
    <w:lvl w:ilvl="0">
      <w:lvlJc w:val="left"/>
      <w:lvlText w:val="%1."/>
      <w:numFmt w:val="decimal"/>
      <w:start w:val="1"/>
    </w:lvl>
    <w:lvl w:ilvl="1">
      <w:lvlJc w:val="left"/>
      <w:lvlText w:val="(%2)"/>
      <w:numFmt w:val="lowerLetter"/>
      <w:start w:val="1"/>
    </w:lvl>
  </w:abstractNum>
  <w:abstractNum w:abstractNumId="118">
    <w:nsid w:val="6AA7B75C"/>
    <w:multiLevelType w:val="hybridMultilevel"/>
    <w:lvl w:ilvl="0">
      <w:lvlJc w:val="left"/>
      <w:lvlText w:val="(%1)"/>
      <w:numFmt w:val="decimal"/>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214" Type="http://schemas.openxmlformats.org/officeDocument/2006/relationships/image" Target="media/image172.png"/><Relationship Id="rId215" Type="http://schemas.openxmlformats.org/officeDocument/2006/relationships/image" Target="media/image173.png"/><Relationship Id="rId216" Type="http://schemas.openxmlformats.org/officeDocument/2006/relationships/image" Target="media/image174.png"/><Relationship Id="rId217" Type="http://schemas.openxmlformats.org/officeDocument/2006/relationships/image" Target="media/image175.png"/><Relationship Id="rId218" Type="http://schemas.openxmlformats.org/officeDocument/2006/relationships/image" Target="media/image176.jpeg"/><Relationship Id="rId219" Type="http://schemas.openxmlformats.org/officeDocument/2006/relationships/image" Target="media/image177.png"/><Relationship Id="rId220" Type="http://schemas.openxmlformats.org/officeDocument/2006/relationships/image" Target="media/image178.png"/><Relationship Id="rId221" Type="http://schemas.openxmlformats.org/officeDocument/2006/relationships/image" Target="media/image179.png"/><Relationship Id="rId222" Type="http://schemas.openxmlformats.org/officeDocument/2006/relationships/image" Target="media/image180.png"/><Relationship Id="rId223" Type="http://schemas.openxmlformats.org/officeDocument/2006/relationships/image" Target="media/image181.png"/><Relationship Id="rId224" Type="http://schemas.openxmlformats.org/officeDocument/2006/relationships/image" Target="media/image182.png"/><Relationship Id="rId225" Type="http://schemas.openxmlformats.org/officeDocument/2006/relationships/image" Target="media/image183.png"/><Relationship Id="rId226" Type="http://schemas.openxmlformats.org/officeDocument/2006/relationships/image" Target="media/image184.png"/><Relationship Id="rId227" Type="http://schemas.openxmlformats.org/officeDocument/2006/relationships/image" Target="media/image185.png"/><Relationship Id="rId228" Type="http://schemas.openxmlformats.org/officeDocument/2006/relationships/image" Target="media/image186.png"/><Relationship Id="rId229" Type="http://schemas.openxmlformats.org/officeDocument/2006/relationships/image" Target="media/image187.png"/><Relationship Id="rId230" Type="http://schemas.openxmlformats.org/officeDocument/2006/relationships/image" Target="media/image188.png"/><Relationship Id="rId231" Type="http://schemas.openxmlformats.org/officeDocument/2006/relationships/image" Target="media/image189.png"/><Relationship Id="rId232" Type="http://schemas.openxmlformats.org/officeDocument/2006/relationships/image" Target="media/image190.png"/><Relationship Id="rId233" Type="http://schemas.openxmlformats.org/officeDocument/2006/relationships/image" Target="media/image191.png"/><Relationship Id="rId234" Type="http://schemas.openxmlformats.org/officeDocument/2006/relationships/image" Target="media/image192.png"/><Relationship Id="rId235" Type="http://schemas.openxmlformats.org/officeDocument/2006/relationships/image" Target="media/image193.png"/><Relationship Id="rId236" Type="http://schemas.openxmlformats.org/officeDocument/2006/relationships/image" Target="media/image194.png"/><Relationship Id="rId237" Type="http://schemas.openxmlformats.org/officeDocument/2006/relationships/image" Target="media/image195.png"/><Relationship Id="rId238" Type="http://schemas.openxmlformats.org/officeDocument/2006/relationships/image" Target="media/image196.png"/><Relationship Id="rId239" Type="http://schemas.openxmlformats.org/officeDocument/2006/relationships/image" Target="media/image197.png"/><Relationship Id="rId240" Type="http://schemas.openxmlformats.org/officeDocument/2006/relationships/image" Target="media/image198.png"/><Relationship Id="rId241" Type="http://schemas.openxmlformats.org/officeDocument/2006/relationships/image" Target="media/image199.png"/><Relationship Id="rId242" Type="http://schemas.openxmlformats.org/officeDocument/2006/relationships/image" Target="media/image200.png"/><Relationship Id="rId243" Type="http://schemas.openxmlformats.org/officeDocument/2006/relationships/image" Target="media/image201.png"/><Relationship Id="rId244" Type="http://schemas.openxmlformats.org/officeDocument/2006/relationships/image" Target="media/image202.png"/><Relationship Id="rId245" Type="http://schemas.openxmlformats.org/officeDocument/2006/relationships/image" Target="media/image203.png"/><Relationship Id="rId246" Type="http://schemas.openxmlformats.org/officeDocument/2006/relationships/image" Target="media/image204.png"/><Relationship Id="rId247" Type="http://schemas.openxmlformats.org/officeDocument/2006/relationships/image" Target="media/image205.png"/><Relationship Id="rId248" Type="http://schemas.openxmlformats.org/officeDocument/2006/relationships/image" Target="media/image206.png"/><Relationship Id="rId249" Type="http://schemas.openxmlformats.org/officeDocument/2006/relationships/image" Target="media/image207.png"/><Relationship Id="rId250" Type="http://schemas.openxmlformats.org/officeDocument/2006/relationships/image" Target="media/image208.png"/><Relationship Id="rId251" Type="http://schemas.openxmlformats.org/officeDocument/2006/relationships/image" Target="media/image209.png"/><Relationship Id="rId252" Type="http://schemas.openxmlformats.org/officeDocument/2006/relationships/image" Target="media/image210.png"/><Relationship Id="rId253" Type="http://schemas.openxmlformats.org/officeDocument/2006/relationships/image" Target="media/image211.png"/><Relationship Id="rId254" Type="http://schemas.openxmlformats.org/officeDocument/2006/relationships/image" Target="media/image212.png"/><Relationship Id="rId255" Type="http://schemas.openxmlformats.org/officeDocument/2006/relationships/image" Target="media/image213.png"/><Relationship Id="rId256" Type="http://schemas.openxmlformats.org/officeDocument/2006/relationships/image" Target="media/image214.png"/><Relationship Id="rId257" Type="http://schemas.openxmlformats.org/officeDocument/2006/relationships/image" Target="media/image215.png"/><Relationship Id="rId258" Type="http://schemas.openxmlformats.org/officeDocument/2006/relationships/image" Target="media/image216.png"/><Relationship Id="rId259" Type="http://schemas.openxmlformats.org/officeDocument/2006/relationships/image" Target="media/image217.png"/><Relationship Id="rId260" Type="http://schemas.openxmlformats.org/officeDocument/2006/relationships/image" Target="media/image218.png"/><Relationship Id="rId261" Type="http://schemas.openxmlformats.org/officeDocument/2006/relationships/image" Target="media/image219.png"/><Relationship Id="rId262" Type="http://schemas.openxmlformats.org/officeDocument/2006/relationships/image" Target="media/image220.png"/><Relationship Id="rId263" Type="http://schemas.openxmlformats.org/officeDocument/2006/relationships/image" Target="media/image221.png"/><Relationship Id="rId264" Type="http://schemas.openxmlformats.org/officeDocument/2006/relationships/image" Target="media/image222.png"/><Relationship Id="rId265" Type="http://schemas.openxmlformats.org/officeDocument/2006/relationships/image" Target="media/image223.png"/><Relationship Id="rId266" Type="http://schemas.openxmlformats.org/officeDocument/2006/relationships/image" Target="media/image224.png"/><Relationship Id="rId267" Type="http://schemas.openxmlformats.org/officeDocument/2006/relationships/image" Target="media/image225.png"/><Relationship Id="rId268" Type="http://schemas.openxmlformats.org/officeDocument/2006/relationships/image" Target="media/image226.png"/><Relationship Id="rId269" Type="http://schemas.openxmlformats.org/officeDocument/2006/relationships/image" Target="media/image227.png"/><Relationship Id="rId270" Type="http://schemas.openxmlformats.org/officeDocument/2006/relationships/image" Target="media/image228.png"/><Relationship Id="rId271" Type="http://schemas.openxmlformats.org/officeDocument/2006/relationships/image" Target="media/image229.png"/><Relationship Id="rId272" Type="http://schemas.openxmlformats.org/officeDocument/2006/relationships/image" Target="media/image230.png"/><Relationship Id="rId273" Type="http://schemas.openxmlformats.org/officeDocument/2006/relationships/image" Target="media/image231.png"/><Relationship Id="rId274" Type="http://schemas.openxmlformats.org/officeDocument/2006/relationships/image" Target="media/image232.png"/><Relationship Id="rId275" Type="http://schemas.openxmlformats.org/officeDocument/2006/relationships/image" Target="media/image233.png"/><Relationship Id="rId276" Type="http://schemas.openxmlformats.org/officeDocument/2006/relationships/image" Target="media/image234.png"/><Relationship Id="rId277" Type="http://schemas.openxmlformats.org/officeDocument/2006/relationships/image" Target="media/image235.png"/><Relationship Id="rId278" Type="http://schemas.openxmlformats.org/officeDocument/2006/relationships/image" Target="media/image236.png"/><Relationship Id="rId279" Type="http://schemas.openxmlformats.org/officeDocument/2006/relationships/image" Target="media/image237.png"/><Relationship Id="rId280" Type="http://schemas.openxmlformats.org/officeDocument/2006/relationships/image" Target="media/image238.png"/><Relationship Id="rId179" Type="http://schemas.openxmlformats.org/officeDocument/2006/relationships/hyperlink" Target="http://www.sec.gov/Archives/edgar/data/1991605/000121390025052579/ea024041501ex3-2_yimutian.htm" TargetMode="External"/><Relationship Id="rId180" Type="http://schemas.openxmlformats.org/officeDocument/2006/relationships/hyperlink" Target="https://www.sec.gov/Archives/edgar/data/1991605/000121390025066610/ea024041503ex4-3_yimutian.htm" TargetMode="External"/><Relationship Id="rId181" Type="http://schemas.openxmlformats.org/officeDocument/2006/relationships/hyperlink" Target="http://www.sec.gov/Archives/edgar/data/1991605/000121390025052579/ea024041501ex4-2_yimutian.htm" TargetMode="External"/><Relationship Id="rId182" Type="http://schemas.openxmlformats.org/officeDocument/2006/relationships/hyperlink" Target="http://www.sec.gov/Archives/edgar/data/1991605/000121390025066610/ea024041503ex4-3_yimutian.htm" TargetMode="External"/><Relationship Id="rId183" Type="http://schemas.openxmlformats.org/officeDocument/2006/relationships/hyperlink" Target="http://www.sec.gov/Archives/edgar/data/1991605/000121390025052579/ea024041501ex4-4_yimutian.htm" TargetMode="External"/><Relationship Id="rId184" Type="http://schemas.openxmlformats.org/officeDocument/2006/relationships/hyperlink" Target="http://www.sec.gov/Archives/edgar/data/1991605/000121390026057895/ea028732201ex2-5.htm" TargetMode="External"/><Relationship Id="rId185" Type="http://schemas.openxmlformats.org/officeDocument/2006/relationships/hyperlink" Target="http://www.sec.gov/Archives/edgar/data/1991605/000121390025119688/ea026897701ex10-2_yimutian.htm" TargetMode="External"/><Relationship Id="rId186" Type="http://schemas.openxmlformats.org/officeDocument/2006/relationships/hyperlink" Target="http://www.sec.gov/Archives/edgar/data/1991605/000121390025052579/ea024041501ex10-1_yimutian.htm" TargetMode="External"/><Relationship Id="rId187" Type="http://schemas.openxmlformats.org/officeDocument/2006/relationships/hyperlink" Target="http://www.sec.gov/Archives/edgar/data/1991605/000121390025052579/ea024041501ex10-2_yimutian.htm" TargetMode="External"/><Relationship Id="rId188" Type="http://schemas.openxmlformats.org/officeDocument/2006/relationships/hyperlink" Target="http://www.sec.gov/Archives/edgar/data/1991605/000121390025052579/ea024041501ex10-3_yimutian.htm" TargetMode="External"/><Relationship Id="rId189" Type="http://schemas.openxmlformats.org/officeDocument/2006/relationships/hyperlink" Target="http://www.sec.gov/Archives/edgar/data/1991605/000121390025052579/ea024041501ex10-4_yimutian.htm" TargetMode="External"/><Relationship Id="rId190" Type="http://schemas.openxmlformats.org/officeDocument/2006/relationships/hyperlink" Target="https://www.sec.gov/Archives/edgar/data/1991605/000121390025052579/ea024041501ex10-5_yimutian.htm" TargetMode="External"/><Relationship Id="rId191" Type="http://schemas.openxmlformats.org/officeDocument/2006/relationships/hyperlink" Target="http://www.sec.gov/Archives/edgar/data/1991605/000121390025052579/ea024041501ex10-6_yimutian.htm" TargetMode="External"/><Relationship Id="rId192" Type="http://schemas.openxmlformats.org/officeDocument/2006/relationships/hyperlink" Target="http://www.sec.gov/Archives/edgar/data/1991605/000121390025052579/ea024041501ex10-7_yimutian.htm" TargetMode="External"/><Relationship Id="rId193" Type="http://schemas.openxmlformats.org/officeDocument/2006/relationships/hyperlink" Target="http://www.sec.gov/Archives/edgar/data/1991605/000121390025052579/ea024041501ex10-8_yimutian.htm" TargetMode="External"/><Relationship Id="rId194" Type="http://schemas.openxmlformats.org/officeDocument/2006/relationships/hyperlink" Target="http://www.sec.gov/Archives/edgar/data/1991605/000121390025052579/ea024041501ex10-9_yimutian.htm" TargetMode="External"/><Relationship Id="rId195" Type="http://schemas.openxmlformats.org/officeDocument/2006/relationships/hyperlink" Target="http://www.sec.gov/Archives/edgar/data/1991605/000121390025052579/ea024041501ex10-10_yimutian.htm" TargetMode="External"/><Relationship Id="rId196" Type="http://schemas.openxmlformats.org/officeDocument/2006/relationships/hyperlink" Target="http://www.sec.gov/Archives/edgar/data/1991605/000121390025052579/ea024041501ex10-11_yimutian.htm" TargetMode="External"/><Relationship Id="rId197" Type="http://schemas.openxmlformats.org/officeDocument/2006/relationships/hyperlink" Target="http://www.sec.gov/Archives/edgar/data/1991605/000121390025052579/ea024041501ex10-12_yimutian.htm" TargetMode="External"/><Relationship Id="rId198" Type="http://schemas.openxmlformats.org/officeDocument/2006/relationships/hyperlink" Target="http://www.sec.gov/Archives/edgar/data/1991605/000121390025052579/ea024041501ex10-13_yimutian.htm" TargetMode="External"/><Relationship Id="rId199" Type="http://schemas.openxmlformats.org/officeDocument/2006/relationships/hyperlink" Target="http://www.sec.gov/Archives/edgar/data/1991605/000121390025052579/ea024041501ex10-14_yimutian.htm" TargetMode="External"/><Relationship Id="rId200" Type="http://schemas.openxmlformats.org/officeDocument/2006/relationships/hyperlink" Target="http://www.sec.gov/Archives/edgar/data/1991605/000121390025052579/ea024041501ex10-15_yimutian.htm" TargetMode="External"/><Relationship Id="rId201" Type="http://schemas.openxmlformats.org/officeDocument/2006/relationships/hyperlink" Target="http://www.sec.gov/Archives/edgar/data/1991605/000121390025052579/ea024041501ex10-16_yimutian.htm" TargetMode="External"/><Relationship Id="rId202" Type="http://schemas.openxmlformats.org/officeDocument/2006/relationships/hyperlink" Target="http://www.sec.gov/Archives/edgar/data/1991605/000121390025052579/ea024041501ex10-17_yimutian.htm" TargetMode="External"/><Relationship Id="rId203" Type="http://schemas.openxmlformats.org/officeDocument/2006/relationships/hyperlink" Target="http://www.sec.gov/Archives/edgar/data/1991605/000121390025052579/ea024041501ex10-18_yimutian.htm" TargetMode="External"/><Relationship Id="rId204" Type="http://schemas.openxmlformats.org/officeDocument/2006/relationships/hyperlink" Target="http://www.sec.gov/Archives/edgar/data/1991605/000121390025119688/ea026897701ex10-1_yimutian.htm" TargetMode="External"/><Relationship Id="rId205" Type="http://schemas.openxmlformats.org/officeDocument/2006/relationships/hyperlink" Target="http://www.sec.gov/Archives/edgar/data/1991605/000121390025119688/ea026897701ex10-3_yimutian.htm" TargetMode="External"/><Relationship Id="rId206" Type="http://schemas.openxmlformats.org/officeDocument/2006/relationships/hyperlink" Target="http://www.sec.gov/Archives/edgar/data/1991605/000121390026057895/ea028732201ex8-1.htm" TargetMode="External"/><Relationship Id="rId207" Type="http://schemas.openxmlformats.org/officeDocument/2006/relationships/hyperlink" Target="http://www.sec.gov/Archives/edgar/data/1991605/000121390025052579/ea024041501ex99-1_yimutian.htm" TargetMode="External"/><Relationship Id="rId208" Type="http://schemas.openxmlformats.org/officeDocument/2006/relationships/hyperlink" Target="http://www.sec.gov/Archives/edgar/data/1991605/000121390026057895/ea028732201ex11-2.htm" TargetMode="External"/><Relationship Id="rId209" Type="http://schemas.openxmlformats.org/officeDocument/2006/relationships/hyperlink" Target="http://www.sec.gov/Archives/edgar/data/1991605/000121390026057895/ea028732201ex15-1.htm" TargetMode="External"/><Relationship Id="rId210" Type="http://schemas.openxmlformats.org/officeDocument/2006/relationships/hyperlink" Target="http://www.sec.gov/Archives/edgar/data/1991605/000121390026057895/ea028732201ex15-2.htm" TargetMode="External"/><Relationship Id="rId211" Type="http://schemas.openxmlformats.org/officeDocument/2006/relationships/hyperlink" Target="http://www.sec.gov/Archives/edgar/data/1991605/000121390026057895/ea028732201ex15-3.htm" TargetMode="External"/><Relationship Id="rId212" Type="http://schemas.openxmlformats.org/officeDocument/2006/relationships/hyperlink" Target="http://www.sec.gov/Archives/edgar/data/1991605/000121390025052579/ea024041501ex16-1_yimutian.htm" TargetMode="External"/><Relationship Id="rId213" Type="http://schemas.openxmlformats.org/officeDocument/2006/relationships/hyperlink" Target="http://www.sec.gov/Archives/edgar/data/1991605/000121390026057895/ea028732201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2026-05-18T05:42:37Z</dcterms:created>
  <dcterms:modified xsi:type="dcterms:W3CDTF">2026-05-18T05:42:37Z</dcterms:modified>
</cp:coreProperties>
</file>