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5427_f6ef-yimutian.htm"/>
      <w:bookmarkStart w:id="1" w:name="kse665427_f6efyimutian"/>
      <w:bookmarkEnd w:id="0"/>
      <w:bookmarkEnd w:id="1"/>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April 29, 2026</w:t>
      </w:r>
    </w:p>
    <w:p>
      <w:pPr>
        <w:pStyle w:val="TextBody"/>
        <w:pBdr>
          <w:bottom w:val="single" w:sz="8" w:space="1" w:color="000000"/>
        </w:pBdr>
        <w:bidi w:val="0"/>
        <w:spacing w:before="0" w:after="0"/>
        <w:ind w:left="0" w:right="0" w:hanging="0"/>
        <w:jc w:val="right"/>
        <w:rPr>
          <w:rFonts w:ascii="Times New Roman;Times;Serif" w:hAnsi="Times New Roman;Times;Serif"/>
          <w:b/>
          <w:i w:val="false"/>
          <w:caps w:val="false"/>
          <w:smallCaps w:val="false"/>
          <w:strike w:val="false"/>
          <w:dstrike w:val="false"/>
          <w:sz w:val="20"/>
          <w:u w:val="single"/>
          <w:effect w:val="none"/>
        </w:rPr>
      </w:pPr>
      <w:r>
        <w:rPr>
          <w:rFonts w:ascii="Times New Roman;Times;Serif" w:hAnsi="Times New Roman;Times;Serif"/>
          <w:b/>
          <w:i w:val="false"/>
          <w:caps w:val="false"/>
          <w:smallCaps w:val="false"/>
          <w:strike w:val="false"/>
          <w:dstrike w:val="false"/>
          <w:sz w:val="20"/>
          <w:u w:val="single"/>
          <w:effect w:val="none"/>
        </w:rPr>
        <w:tab/>
        <w:t xml:space="preserve">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Depositary Shares Evidenced by American Depositary Receipts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Yimutian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issuer of deposited securities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issuer's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 or organization of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depositary as specified in its charter)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 Park Avenue, Floor 8, New York, New York 10017</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 990-1135</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(Address, including zip code, and telephone number, including area code, of depositary’s principal </w:t>
      </w:r>
      <w:r>
        <w:rPr>
          <w:rFonts w:ascii="Times New Roman;Times;Serif" w:hAnsi="Times New Roman;Times;Serif"/>
          <w:b w:val="false"/>
          <w:i w:val="false"/>
          <w:caps w:val="false"/>
          <w:smallCaps w:val="false"/>
          <w:sz w:val="20"/>
        </w:rPr>
        <w:t>executive offices)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 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Scott A. Ziegler,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Ziegler, Ziegler &amp; Associates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570 Lexington Avenue, Suite 2405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319-7600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proposed that this filing become effective under Rule 466</w:t>
      </w:r>
    </w:p>
    <w:tbl>
      <w:tblPr>
        <w:tblW w:w="10205" w:type="dxa"/>
        <w:jc w:val="left"/>
        <w:tblInd w:w="0" w:type="dxa"/>
        <w:tblLayout w:type="fixed"/>
        <w:tblCellMar>
          <w:top w:w="0" w:type="dxa"/>
          <w:left w:w="0" w:type="dxa"/>
          <w:bottom w:w="0" w:type="dxa"/>
          <w:right w:w="0" w:type="dxa"/>
        </w:tblCellMar>
      </w:tblPr>
      <w:tblGrid>
        <w:gridCol w:w="1175"/>
        <w:gridCol w:w="231"/>
        <w:gridCol w:w="8799"/>
      </w:tblGrid>
      <w:tr>
        <w:trPr/>
        <w:tc>
          <w:tcPr>
            <w:tcW w:w="1175"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left"/>
              <w:rPr/>
            </w:pPr>
            <w:r>
              <w:rPr/>
              <w:t> </w:t>
            </w:r>
          </w:p>
        </w:tc>
        <w:tc>
          <w:tcPr>
            <w:tcW w:w="87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immediately upon filing</w:t>
            </w:r>
          </w:p>
        </w:tc>
      </w:tr>
      <w:tr>
        <w:trPr/>
        <w:tc>
          <w:tcPr>
            <w:tcW w:w="1175"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left"/>
              <w:rPr/>
            </w:pPr>
            <w:r>
              <w:rPr/>
              <w:t> </w:t>
            </w:r>
          </w:p>
        </w:tc>
        <w:tc>
          <w:tcPr>
            <w:tcW w:w="879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on (Date) at (Time)</w:t>
            </w:r>
          </w:p>
        </w:tc>
      </w:tr>
      <w:tr>
        <w:trPr/>
        <w:tc>
          <w:tcPr>
            <w:tcW w:w="1175" w:type="dxa"/>
            <w:tcBorders/>
            <w:vAlign w:val="center"/>
          </w:tcPr>
          <w:p>
            <w:pPr>
              <w:pStyle w:val="TableContents"/>
              <w:bidi w:val="0"/>
              <w:spacing w:before="0" w:after="283"/>
              <w:jc w:val="right"/>
              <w:rPr/>
            </w:pPr>
            <w:r>
              <w:rPr/>
              <w:t> </w:t>
            </w:r>
          </w:p>
        </w:tc>
        <w:tc>
          <w:tcPr>
            <w:tcW w:w="231" w:type="dxa"/>
            <w:tcBorders/>
            <w:vAlign w:val="center"/>
          </w:tcPr>
          <w:p>
            <w:pPr>
              <w:pStyle w:val="TableContents"/>
              <w:bidi w:val="0"/>
              <w:spacing w:before="0" w:after="283"/>
              <w:jc w:val="left"/>
              <w:rPr/>
            </w:pPr>
            <w:r>
              <w:rPr/>
              <w:t> </w:t>
            </w:r>
          </w:p>
        </w:tc>
        <w:tc>
          <w:tcPr>
            <w:tcW w:w="8799"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If a separate registration statement has been filed to register the deposited shares, check the following box.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REGISTRATION FEE</w:t>
      </w:r>
    </w:p>
    <w:tbl>
      <w:tblPr>
        <w:tblW w:w="10205" w:type="dxa"/>
        <w:jc w:val="left"/>
        <w:tblInd w:w="0" w:type="dxa"/>
        <w:tblLayout w:type="fixed"/>
        <w:tblCellMar>
          <w:top w:w="28" w:type="dxa"/>
          <w:left w:w="0" w:type="dxa"/>
          <w:bottom w:w="28" w:type="dxa"/>
          <w:right w:w="28" w:type="dxa"/>
        </w:tblCellMar>
      </w:tblPr>
      <w:tblGrid>
        <w:gridCol w:w="4666"/>
        <w:gridCol w:w="1382"/>
        <w:gridCol w:w="1727"/>
        <w:gridCol w:w="1313"/>
        <w:gridCol w:w="1117"/>
      </w:tblGrid>
      <w:tr>
        <w:trPr/>
        <w:tc>
          <w:tcPr>
            <w:tcW w:w="4666" w:type="dxa"/>
            <w:tcBorders>
              <w:top w:val="double" w:sz="6"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to be registered</w:t>
            </w:r>
          </w:p>
        </w:tc>
        <w:tc>
          <w:tcPr>
            <w:tcW w:w="1382" w:type="dxa"/>
            <w:tcBorders>
              <w:top w:val="double" w:sz="6"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registered</w:t>
            </w:r>
          </w:p>
        </w:tc>
        <w:tc>
          <w:tcPr>
            <w:tcW w:w="1727" w:type="dxa"/>
            <w:tcBorders>
              <w:top w:val="double" w:sz="6"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 xml:space="preserve">Proposed maximum aggregate price per unit </w:t>
            </w:r>
            <w:r>
              <w:rPr>
                <w:b/>
                <w:position w:val="7"/>
                <w:sz w:val="16"/>
                <w:sz w:val="20"/>
              </w:rPr>
              <w:t>(1)</w:t>
            </w:r>
          </w:p>
        </w:tc>
        <w:tc>
          <w:tcPr>
            <w:tcW w:w="1313" w:type="dxa"/>
            <w:tcBorders>
              <w:top w:val="double" w:sz="6"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maximum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aggregate offering price </w:t>
            </w:r>
            <w:r>
              <w:rPr>
                <w:rFonts w:ascii="Times New Roman;Times;Serif" w:hAnsi="Times New Roman;Times;Serif"/>
                <w:b/>
                <w:i w:val="false"/>
                <w:caps w:val="false"/>
                <w:smallCaps w:val="false"/>
                <w:position w:val="7"/>
                <w:sz w:val="16"/>
                <w:sz w:val="20"/>
              </w:rPr>
              <w:t>(2)</w:t>
            </w:r>
          </w:p>
        </w:tc>
        <w:tc>
          <w:tcPr>
            <w:tcW w:w="1117" w:type="dxa"/>
            <w:tcBorders>
              <w:top w:val="double" w:sz="6" w:space="0" w:color="000000"/>
              <w:bottom w:val="single" w:sz="8" w:space="0" w:color="000000"/>
            </w:tcBorders>
            <w:tcMar>
              <w:righ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fee</w:t>
            </w:r>
          </w:p>
        </w:tc>
      </w:tr>
      <w:tr>
        <w:trPr/>
        <w:tc>
          <w:tcPr>
            <w:tcW w:w="4666" w:type="dxa"/>
            <w:tcBorders>
              <w:bottom w:val="double" w:sz="6"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American Depositary Shares evidenced by American Depositary Receipts, each American Depositary Share representing a specified number of Class A ordinary shares of Yimutian Inc.</w:t>
            </w:r>
          </w:p>
        </w:tc>
        <w:tc>
          <w:tcPr>
            <w:tcW w:w="1382" w:type="dxa"/>
            <w:tcBorders>
              <w:bottom w:val="double" w:sz="6"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w:t>
            </w:r>
          </w:p>
        </w:tc>
        <w:tc>
          <w:tcPr>
            <w:tcW w:w="1727" w:type="dxa"/>
            <w:tcBorders>
              <w:bottom w:val="double" w:sz="6" w:space="0" w:color="000000"/>
              <w:right w:val="single" w:sz="8" w:space="0" w:color="000000"/>
            </w:tcBorders>
            <w:tcMar>
              <w:top w:w="0" w:type="dxa"/>
            </w:tcMar>
            <w:vAlign w:val="center"/>
          </w:tcPr>
          <w:p>
            <w:pPr>
              <w:pStyle w:val="TableContents"/>
              <w:bidi w:val="0"/>
              <w:spacing w:before="0" w:after="283"/>
              <w:jc w:val="center"/>
              <w:rPr>
                <w:sz w:val="20"/>
              </w:rPr>
            </w:pPr>
            <w:r>
              <w:rPr>
                <w:sz w:val="20"/>
              </w:rPr>
              <w:t>$0.05</w:t>
            </w:r>
          </w:p>
        </w:tc>
        <w:tc>
          <w:tcPr>
            <w:tcW w:w="1313" w:type="dxa"/>
            <w:tcBorders>
              <w:bottom w:val="double" w:sz="6" w:space="0" w:color="000000"/>
              <w:right w:val="single" w:sz="8" w:space="0" w:color="000000"/>
            </w:tcBorders>
            <w:tcMar>
              <w:top w:w="0" w:type="dxa"/>
            </w:tcMar>
            <w:vAlign w:val="center"/>
          </w:tcPr>
          <w:p>
            <w:pPr>
              <w:pStyle w:val="TableContents"/>
              <w:bidi w:val="0"/>
              <w:spacing w:before="0" w:after="283"/>
              <w:jc w:val="center"/>
              <w:rPr>
                <w:sz w:val="20"/>
              </w:rPr>
            </w:pPr>
            <w:r>
              <w:rPr>
                <w:sz w:val="20"/>
              </w:rPr>
              <w:t>$7,500,000</w:t>
            </w:r>
          </w:p>
        </w:tc>
        <w:tc>
          <w:tcPr>
            <w:tcW w:w="1117" w:type="dxa"/>
            <w:tcBorders>
              <w:bottom w:val="double" w:sz="6" w:space="0" w:color="000000"/>
            </w:tcBorders>
            <w:tcMar>
              <w:top w:w="0" w:type="dxa"/>
              <w:right w:w="0" w:type="dxa"/>
            </w:tcMar>
            <w:vAlign w:val="center"/>
          </w:tcPr>
          <w:p>
            <w:pPr>
              <w:pStyle w:val="TableContents"/>
              <w:bidi w:val="0"/>
              <w:spacing w:before="0" w:after="283"/>
              <w:jc w:val="center"/>
              <w:rPr>
                <w:sz w:val="20"/>
              </w:rPr>
            </w:pPr>
            <w:r>
              <w:rPr>
                <w:sz w:val="20"/>
              </w:rPr>
              <w:t>$1035.75</w:t>
            </w:r>
          </w:p>
        </w:tc>
      </w:tr>
    </w:tbl>
    <w:tbl>
      <w:tblPr>
        <w:tblW w:w="5395" w:type="dxa"/>
        <w:jc w:val="left"/>
        <w:tblInd w:w="0" w:type="dxa"/>
        <w:tblLayout w:type="fixed"/>
        <w:tblCellMar>
          <w:top w:w="0" w:type="dxa"/>
          <w:left w:w="0" w:type="dxa"/>
          <w:bottom w:w="0" w:type="dxa"/>
          <w:right w:w="0" w:type="dxa"/>
        </w:tblCellMar>
      </w:tblPr>
      <w:tblGrid>
        <w:gridCol w:w="305"/>
        <w:gridCol w:w="5090"/>
      </w:tblGrid>
      <w:tr>
        <w:trPr/>
        <w:tc>
          <w:tcPr>
            <w:tcW w:w="305" w:type="dxa"/>
            <w:tcBorders/>
            <w:vAlign w:val="center"/>
          </w:tcPr>
          <w:p>
            <w:pPr>
              <w:pStyle w:val="TableContents"/>
              <w:bidi w:val="0"/>
              <w:spacing w:before="0" w:after="283"/>
              <w:jc w:val="left"/>
              <w:rPr/>
            </w:pPr>
            <w:r>
              <w:rPr/>
              <w:t>(1)</w:t>
            </w:r>
          </w:p>
        </w:tc>
        <w:tc>
          <w:tcPr>
            <w:tcW w:w="5090" w:type="dxa"/>
            <w:tcBorders/>
            <w:vAlign w:val="center"/>
          </w:tcPr>
          <w:p>
            <w:pPr>
              <w:pStyle w:val="TableContents"/>
              <w:bidi w:val="0"/>
              <w:spacing w:before="0" w:after="283"/>
              <w:jc w:val="both"/>
              <w:rPr/>
            </w:pPr>
            <w:r>
              <w:rPr/>
              <w:t>Each unit represents one American Depositary Share.</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283"/>
              <w:jc w:val="both"/>
              <w:rPr/>
            </w:pPr>
            <w:r>
              <w:rPr/>
              <w:t>Estimated solely for the purpose of calculating the registration fee. Pursuant to Rule 457(k), such estimate is computed on the basis of the maximum aggregate fees or charges to be imposed in connection with the issuance of American Depositary Receipts evidencing American Depositary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consists of the form of American Depositary Receipt ("ADR" or "American Depositary Receipt") filed herewith as Exhibit (a)(3) to this Registration Statement on Form F-6, which is incorporated herein by reference.</w:t>
      </w:r>
    </w:p>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DESCRIPTION OF SECURITIES TO BE REGISTERED</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 REFERENCE SHEET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400"/>
        <w:gridCol w:w="5475"/>
        <w:gridCol w:w="60"/>
        <w:gridCol w:w="4035"/>
      </w:tblGrid>
      <w:tr>
        <w:trPr/>
        <w:tc>
          <w:tcPr>
            <w:tcW w:w="6110"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Item Number and Caption</w:t>
              <w:tab/>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in Form of American Depositary</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Receipt Filed Herewith as Prospectus</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8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and address of Depositary</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Introductory paragraph and bottom of face of American Depositary Receipt</w:t>
            </w:r>
          </w:p>
        </w:tc>
      </w:tr>
      <w:tr>
        <w:trPr/>
        <w:tc>
          <w:tcPr>
            <w:tcW w:w="235" w:type="dxa"/>
            <w:tcBorders/>
            <w:vAlign w:val="center"/>
          </w:tcPr>
          <w:p>
            <w:pPr>
              <w:pStyle w:val="TableContents"/>
              <w:bidi w:val="0"/>
              <w:spacing w:before="0" w:after="283"/>
              <w:jc w:val="left"/>
              <w:rPr/>
            </w:pPr>
            <w:r>
              <w:rPr/>
              <w:t> </w:t>
            </w:r>
          </w:p>
        </w:tc>
        <w:tc>
          <w:tcPr>
            <w:tcW w:w="5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8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American Depositary Receipts and identity of deposited securities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Face of American Depositary Receipt, top center</w:t>
            </w:r>
          </w:p>
        </w:tc>
      </w:tr>
      <w:tr>
        <w:trPr/>
        <w:tc>
          <w:tcPr>
            <w:tcW w:w="235" w:type="dxa"/>
            <w:tcBorders/>
            <w:vAlign w:val="center"/>
          </w:tcPr>
          <w:p>
            <w:pPr>
              <w:pStyle w:val="TableContents"/>
              <w:bidi w:val="0"/>
              <w:spacing w:before="0" w:after="283"/>
              <w:jc w:val="left"/>
              <w:rPr/>
            </w:pPr>
            <w:r>
              <w:rPr/>
              <w:t> </w:t>
            </w:r>
          </w:p>
        </w:tc>
        <w:tc>
          <w:tcPr>
            <w:tcW w:w="5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58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of Deposit:</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 of deposited securities represented by one unit of American Depositary Shares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Face of American Depositary Receipt, upper right corner</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 for voting the deposited securities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 (12)</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 for collecting and distributing dividends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(4), (5), (7) and (10)</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Procedures for transmitting notices, reports and proxy soliciting material</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(3), (8) and (12)</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or exercise of rights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(4), (5) and (10)</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or sale of securities resulting from dividends, splits or plans of reorganization</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(4), (5), (10) and (13)</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extension or termination of the Deposit Agreement</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(16) and (17)</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holders of ADRs to inspect the transfer books of the Depositary and the list of holders of ADRs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 (3)</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Restrictions upon the right to transfer or withdraw the underlying securities</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Paragraphs (1), (2), (4), and (5)</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5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upon the liability of the Depositary</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 (14)</w:t>
            </w:r>
          </w:p>
        </w:tc>
      </w:tr>
      <w:tr>
        <w:trPr/>
        <w:tc>
          <w:tcPr>
            <w:tcW w:w="235"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jc w:val="left"/>
              <w:rPr/>
            </w:pPr>
            <w:r>
              <w:rPr/>
              <w:t> </w:t>
            </w:r>
          </w:p>
        </w:tc>
        <w:tc>
          <w:tcPr>
            <w:tcW w:w="5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pPr>
            <w:r>
              <w:rPr/>
              <w:t> </w:t>
            </w:r>
          </w:p>
        </w:tc>
      </w:tr>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87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charges that a holder of ADRs may have to pay, either directly or indirectly</w:t>
            </w:r>
          </w:p>
        </w:tc>
        <w:tc>
          <w:tcPr>
            <w:tcW w:w="60" w:type="dxa"/>
            <w:tcBorders/>
            <w:vAlign w:val="center"/>
          </w:tcPr>
          <w:p>
            <w:pPr>
              <w:pStyle w:val="TableContents"/>
              <w:bidi w:val="0"/>
              <w:spacing w:before="0" w:after="283"/>
              <w:jc w:val="left"/>
              <w:rPr/>
            </w:pPr>
            <w:r>
              <w:rPr/>
              <w:t> </w:t>
            </w:r>
          </w:p>
        </w:tc>
        <w:tc>
          <w:tcPr>
            <w:tcW w:w="4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 (7)</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283"/>
        <w:jc w:val="left"/>
        <w:rPr/>
      </w:pPr>
      <w:r>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AVAILABLE INFORMATION</w:t>
      </w:r>
    </w:p>
    <w:p>
      <w:pPr>
        <w:pStyle w:val="TextBody"/>
        <w:bidi w:val="0"/>
        <w:spacing w:before="0" w:after="0"/>
        <w:ind w:left="720" w:right="7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
        <w:gridCol w:w="4125"/>
        <w:gridCol w:w="4132"/>
        <w:gridCol w:w="60"/>
        <w:gridCol w:w="1431"/>
      </w:tblGrid>
      <w:tr>
        <w:trPr/>
        <w:tc>
          <w:tcPr>
            <w:tcW w:w="8714"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440" w:right="0" w:hanging="45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Item Number and Caption</w:t>
              <w:tab/>
            </w:r>
          </w:p>
        </w:tc>
        <w:tc>
          <w:tcPr>
            <w:tcW w:w="60"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in Form of American Depositary</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Receipt Filed Herewith as Prospectus</w:t>
            </w:r>
          </w:p>
        </w:tc>
      </w:tr>
      <w:tr>
        <w:trPr/>
        <w:tc>
          <w:tcPr>
            <w:tcW w:w="457" w:type="dxa"/>
            <w:tcBorders/>
            <w:vAlign w:val="center"/>
          </w:tcPr>
          <w:p>
            <w:pPr>
              <w:pStyle w:val="TableContents"/>
              <w:bidi w:val="0"/>
              <w:spacing w:before="0" w:after="283"/>
              <w:jc w:val="left"/>
              <w:rPr/>
            </w:pPr>
            <w:r>
              <w:rPr/>
              <w:t> </w:t>
            </w:r>
          </w:p>
        </w:tc>
        <w:tc>
          <w:tcPr>
            <w:tcW w:w="4125" w:type="dxa"/>
            <w:tcBorders/>
            <w:vAlign w:val="center"/>
          </w:tcPr>
          <w:p>
            <w:pPr>
              <w:pStyle w:val="TableContents"/>
              <w:bidi w:val="0"/>
              <w:spacing w:before="0" w:after="283"/>
              <w:jc w:val="left"/>
              <w:rPr/>
            </w:pPr>
            <w:r>
              <w:rPr/>
              <w:t> </w:t>
            </w:r>
          </w:p>
        </w:tc>
        <w:tc>
          <w:tcPr>
            <w:tcW w:w="4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left"/>
              <w:rPr/>
            </w:pPr>
            <w:r>
              <w:rPr/>
              <w:t> </w:t>
            </w:r>
          </w:p>
        </w:tc>
      </w:tr>
      <w:tr>
        <w:trPr/>
        <w:tc>
          <w:tcPr>
            <w:tcW w:w="4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257"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 that Yimutian Inc. is subject to the periodic reporting requirements of the Securities Exchange Act of 1934, as amended, and, accordingly files certain reports with the Securities and Exchange Commission, and that such reports can be inspected and copied through the Securities and Exchange Commission’s EDGAR system or at public reference facilities maintained by the Securities and Exchange Commission in Washington, D.C.</w:t>
            </w:r>
          </w:p>
        </w:tc>
        <w:tc>
          <w:tcPr>
            <w:tcW w:w="60" w:type="dxa"/>
            <w:tcBorders/>
            <w:vAlign w:val="center"/>
          </w:tcPr>
          <w:p>
            <w:pPr>
              <w:pStyle w:val="TableContents"/>
              <w:bidi w:val="0"/>
              <w:spacing w:before="0" w:after="283"/>
              <w:jc w:val="left"/>
              <w:rPr/>
            </w:pPr>
            <w:r>
              <w:rPr/>
              <w:t> </w:t>
            </w:r>
          </w:p>
        </w:tc>
        <w:tc>
          <w:tcPr>
            <w:tcW w:w="14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Paragraph (8)</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EXHIBITS</w:t>
      </w:r>
    </w:p>
    <w:p>
      <w:pPr>
        <w:pStyle w:val="TextBody"/>
        <w:bidi w:val="0"/>
        <w:spacing w:before="0" w:after="0"/>
        <w:ind w:left="720" w:right="72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6"/>
        <w:gridCol w:w="9832"/>
      </w:tblGrid>
      <w:tr>
        <w:trPr/>
        <w:tc>
          <w:tcPr>
            <w:tcW w:w="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(a)(1)</w:t>
            </w:r>
          </w:p>
        </w:tc>
        <w:tc>
          <w:tcPr>
            <w:tcW w:w="9832" w:type="dxa"/>
            <w:tcBorders/>
            <w:vAlign w:val="center"/>
          </w:tcPr>
          <w:p>
            <w:pPr>
              <w:pStyle w:val="TableContents"/>
              <w:bidi w:val="0"/>
              <w:spacing w:before="0" w:after="283"/>
              <w:jc w:val="both"/>
              <w:rPr/>
            </w:pPr>
            <w:r>
              <w:rPr>
                <w:b/>
              </w:rPr>
              <w:t>Deposit Agreement</w:t>
            </w:r>
            <w:r>
              <w:rPr/>
              <w:t>. Form of Deposit Agreement dated as of                     , 2025 among Yimutian Inc., JPMorgan Chase Bank, N.A., as depositary (the “Depositary”), and all Holders and Beneficial Owners from time to time of ADRs issued thereunder (the “Deposit Agreement”). Previously filed as Exhibit (a) to Registration Statement No. 333-288880 and incorporated herein by reference.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9"/>
        <w:gridCol w:w="9799"/>
      </w:tblGrid>
      <w:tr>
        <w:trPr/>
        <w:tc>
          <w:tcPr>
            <w:tcW w:w="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(a)(2)</w:t>
            </w:r>
          </w:p>
        </w:tc>
        <w:tc>
          <w:tcPr>
            <w:tcW w:w="9799" w:type="dxa"/>
            <w:tcBorders/>
            <w:vAlign w:val="center"/>
          </w:tcPr>
          <w:p>
            <w:pPr>
              <w:pStyle w:val="TableContents"/>
              <w:bidi w:val="0"/>
              <w:spacing w:before="0" w:after="283"/>
              <w:jc w:val="both"/>
              <w:rPr/>
            </w:pPr>
            <w:r>
              <w:rPr>
                <w:b/>
              </w:rPr>
              <w:t>Amendment to Deposit Agreement</w:t>
            </w:r>
            <w:r>
              <w:rPr/>
              <w:t>. Form of Amendment No. 1 dated as of April , 2026 to the Deposit Agreement. Previously filed as Exhibit (a)(2) to Post-Effective Amendment No. 1 to Registration Statement No. 333-288880 and incorporated herein by reference.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728"/>
        <w:gridCol w:w="9427"/>
      </w:tblGrid>
      <w:tr>
        <w:trPr/>
        <w:tc>
          <w:tcPr>
            <w:tcW w:w="5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pPr>
            <w:r>
              <w:rPr/>
              <w:t>(a)(3)</w:t>
            </w:r>
          </w:p>
        </w:tc>
        <w:tc>
          <w:tcPr>
            <w:tcW w:w="9427" w:type="dxa"/>
            <w:tcBorders/>
            <w:vAlign w:val="center"/>
          </w:tcPr>
          <w:p>
            <w:pPr>
              <w:pStyle w:val="TableContents"/>
              <w:bidi w:val="0"/>
              <w:spacing w:before="0" w:after="283"/>
              <w:jc w:val="both"/>
              <w:rPr/>
            </w:pPr>
            <w:r>
              <w:rPr>
                <w:b/>
              </w:rPr>
              <w:t>Form of American Depositary Receipt</w:t>
            </w:r>
            <w:r>
              <w:rPr/>
              <w:t>. Filed herewith as Exhibit (a)(3).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b/>
              </w:rPr>
              <w:t>Any other agreement to which the Depositary is a party relating to the issuance of the American Depositary Shares registered hereunder or the custody of the deposited securities represented thereby. </w:t>
            </w:r>
            <w:r>
              <w:rPr/>
              <w:t>Not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b/>
              </w:rPr>
              <w:t>Every material contract relating to the deposited securities between the Depositary and the issuer of the deposited securities in effect at any time within the last three years. </w:t>
            </w:r>
            <w:r>
              <w:rPr/>
              <w:t>Not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(d)</w:t>
            </w:r>
          </w:p>
        </w:tc>
        <w:tc>
          <w:tcPr>
            <w:tcW w:w="9907" w:type="dxa"/>
            <w:tcBorders/>
            <w:vAlign w:val="center"/>
          </w:tcPr>
          <w:p>
            <w:pPr>
              <w:pStyle w:val="TableContents"/>
              <w:bidi w:val="0"/>
              <w:spacing w:before="0" w:after="283"/>
              <w:jc w:val="both"/>
              <w:rPr/>
            </w:pPr>
            <w:r>
              <w:rPr>
                <w:b/>
              </w:rPr>
              <w:t xml:space="preserve">Opinion of Ziegler, Ziegler &amp; Associates LLP, counsel to the Depositary as to the legality of the securities being registered. </w:t>
            </w:r>
            <w:r>
              <w:rPr/>
              <w:t>Filed herewith as Exhibit (d).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58"/>
        <w:gridCol w:w="9684"/>
      </w:tblGrid>
      <w:tr>
        <w:trPr/>
        <w:tc>
          <w:tcPr>
            <w:tcW w:w="6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pPr>
            <w:r>
              <w:rPr/>
              <w:t>(e)</w:t>
            </w:r>
          </w:p>
        </w:tc>
        <w:tc>
          <w:tcPr>
            <w:tcW w:w="9684" w:type="dxa"/>
            <w:tcBorders/>
            <w:vAlign w:val="center"/>
          </w:tcPr>
          <w:p>
            <w:pPr>
              <w:pStyle w:val="TableContents"/>
              <w:bidi w:val="0"/>
              <w:spacing w:before="0" w:after="283"/>
              <w:jc w:val="both"/>
              <w:rPr/>
            </w:pPr>
            <w:r>
              <w:rPr>
                <w:b/>
              </w:rPr>
              <w:t>Certification under Rule 466.</w:t>
            </w:r>
            <w:r>
              <w:rPr/>
              <w:t xml:space="preserve"> Filed herewith as Exhibit (e).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(f)</w:t>
            </w:r>
          </w:p>
        </w:tc>
        <w:tc>
          <w:tcPr>
            <w:tcW w:w="9934" w:type="dxa"/>
            <w:tcBorders/>
            <w:vAlign w:val="center"/>
          </w:tcPr>
          <w:p>
            <w:pPr>
              <w:pStyle w:val="TableContents"/>
              <w:bidi w:val="0"/>
              <w:spacing w:before="0" w:after="283"/>
              <w:jc w:val="both"/>
              <w:rPr/>
            </w:pPr>
            <w:r>
              <w:rPr/>
              <w:t>Powers of Attorney for certain officers and directors and the authorized representative of the Company. Previously filed.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7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UNDERTAKINGS</w:t>
      </w:r>
    </w:p>
    <w:p>
      <w:pPr>
        <w:pStyle w:val="TextBody"/>
        <w:bidi w:val="0"/>
        <w:spacing w:before="0" w:after="0"/>
        <w:ind w:left="720" w:right="72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The Depositary hereby undertakes to make available at the principal office of the Depositary in the United States, for inspection by holders of the American Depositary Receipts, any reports and communications received from the issuer of the deposited securities which are both (1) received by the Depositary as the holder of the deposited securities, and (2) made generally available to the holders of the underlying securities by the issuer.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American Depositary Receipt thirty days before any change in the fee schedule.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JPMorgan Chase Bank, N.A. on behalf of the legal entity created by the Deposit Agreement,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April 29, 2026.</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9889" w:type="dxa"/>
        <w:jc w:val="left"/>
        <w:tblInd w:w="0" w:type="dxa"/>
        <w:tblLayout w:type="fixed"/>
        <w:tblCellMar>
          <w:top w:w="0" w:type="dxa"/>
          <w:left w:w="0" w:type="dxa"/>
          <w:bottom w:w="0" w:type="dxa"/>
          <w:right w:w="0" w:type="dxa"/>
        </w:tblCellMar>
      </w:tblPr>
      <w:tblGrid>
        <w:gridCol w:w="75"/>
        <w:gridCol w:w="1186"/>
        <w:gridCol w:w="8628"/>
      </w:tblGrid>
      <w:tr>
        <w:trPr/>
        <w:tc>
          <w:tcPr>
            <w:tcW w:w="75" w:type="dxa"/>
            <w:tcBorders/>
            <w:vAlign w:val="center"/>
          </w:tcPr>
          <w:p>
            <w:pPr>
              <w:pStyle w:val="TableContents"/>
              <w:bidi w:val="0"/>
              <w:spacing w:before="0" w:after="283"/>
              <w:jc w:val="both"/>
              <w:rPr/>
            </w:pPr>
            <w:r>
              <w:rPr/>
              <w:t> </w:t>
            </w:r>
          </w:p>
        </w:tc>
        <w:tc>
          <w:tcPr>
            <w:tcW w:w="981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Legal entity created by the form of Deposit Agreement for the issuance of ADRs evidencing American Depositary Shares </w:t>
            </w:r>
          </w:p>
        </w:tc>
      </w:tr>
      <w:tr>
        <w:trPr/>
        <w:tc>
          <w:tcPr>
            <w:tcW w:w="75" w:type="dxa"/>
            <w:tcBorders/>
            <w:vAlign w:val="center"/>
          </w:tcPr>
          <w:p>
            <w:pPr>
              <w:pStyle w:val="TableContents"/>
              <w:bidi w:val="0"/>
              <w:spacing w:before="0" w:after="283"/>
              <w:jc w:val="both"/>
              <w:rPr/>
            </w:pPr>
            <w:r>
              <w:rPr/>
              <w:t> </w:t>
            </w:r>
          </w:p>
        </w:tc>
        <w:tc>
          <w:tcPr>
            <w:tcW w:w="981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86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JPMORGAN CHASE BANK, N.A., as Depositary</w:t>
            </w:r>
          </w:p>
        </w:tc>
      </w:tr>
      <w:tr>
        <w:trPr/>
        <w:tc>
          <w:tcPr>
            <w:tcW w:w="75" w:type="dxa"/>
            <w:tcBorders/>
            <w:vAlign w:val="center"/>
          </w:tcPr>
          <w:p>
            <w:pPr>
              <w:pStyle w:val="TableContents"/>
              <w:bidi w:val="0"/>
              <w:spacing w:before="0" w:after="283"/>
              <w:jc w:val="both"/>
              <w:rPr/>
            </w:pPr>
            <w:r>
              <w:rPr/>
              <w:t> </w:t>
            </w:r>
          </w:p>
        </w:tc>
        <w:tc>
          <w:tcPr>
            <w:tcW w:w="1186" w:type="dxa"/>
            <w:tcBorders/>
            <w:vAlign w:val="center"/>
          </w:tcPr>
          <w:p>
            <w:pPr>
              <w:pStyle w:val="TableContents"/>
              <w:bidi w:val="0"/>
              <w:spacing w:before="0" w:after="283"/>
              <w:jc w:val="both"/>
              <w:rPr/>
            </w:pPr>
            <w:r>
              <w:rPr/>
              <w:t> </w:t>
            </w:r>
          </w:p>
        </w:tc>
        <w:tc>
          <w:tcPr>
            <w:tcW w:w="862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8628"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Gregory A. Levendis</w:t>
            </w:r>
          </w:p>
        </w:tc>
      </w:tr>
      <w:tr>
        <w:trPr/>
        <w:tc>
          <w:tcPr>
            <w:tcW w:w="75" w:type="dxa"/>
            <w:tcBorders/>
            <w:vAlign w:val="center"/>
          </w:tcPr>
          <w:p>
            <w:pPr>
              <w:pStyle w:val="TableContents"/>
              <w:bidi w:val="0"/>
              <w:spacing w:before="0" w:after="283"/>
              <w:jc w:val="both"/>
              <w:rPr/>
            </w:pPr>
            <w:r>
              <w:rPr/>
              <w:t> </w:t>
            </w:r>
          </w:p>
        </w:tc>
        <w:tc>
          <w:tcPr>
            <w:tcW w:w="1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86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Gregory A. Levendis</w:t>
            </w:r>
          </w:p>
        </w:tc>
      </w:tr>
      <w:tr>
        <w:trPr/>
        <w:tc>
          <w:tcPr>
            <w:tcW w:w="75" w:type="dxa"/>
            <w:tcBorders/>
            <w:vAlign w:val="center"/>
          </w:tcPr>
          <w:p>
            <w:pPr>
              <w:pStyle w:val="TableContents"/>
              <w:bidi w:val="0"/>
              <w:spacing w:before="0" w:after="283"/>
              <w:jc w:val="both"/>
              <w:rPr/>
            </w:pPr>
            <w:r>
              <w:rPr/>
              <w:t> </w:t>
            </w:r>
          </w:p>
        </w:tc>
        <w:tc>
          <w:tcPr>
            <w:tcW w:w="11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86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Yimutian Inc. certifies that it has reasonable grounds to believe that all the requirements for filing on Form F-6 are met and has duly caused this Registration Statement on Form F-6 to be signed on its behalf by the undersigned, thereunto duly authorized, in Beijing, China, on April 29, 2026.</w:t>
      </w:r>
    </w:p>
    <w:p>
      <w:pPr>
        <w:pStyle w:val="TextBody"/>
        <w:bidi w:val="0"/>
        <w:spacing w:before="0" w:after="0"/>
        <w:ind w:left="3600" w:right="1008"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545"/>
        <w:gridCol w:w="4190"/>
      </w:tblGrid>
      <w:tr>
        <w:trPr/>
        <w:tc>
          <w:tcPr>
            <w:tcW w:w="75" w:type="dxa"/>
            <w:tcBorders/>
            <w:vAlign w:val="center"/>
          </w:tcPr>
          <w:p>
            <w:pPr>
              <w:pStyle w:val="TableContents"/>
              <w:bidi w:val="0"/>
              <w:spacing w:before="0" w:after="283"/>
              <w:jc w:val="left"/>
              <w:rPr/>
            </w:pPr>
            <w:r>
              <w:rPr/>
              <w:t> </w:t>
            </w:r>
          </w:p>
        </w:tc>
        <w:tc>
          <w:tcPr>
            <w:tcW w:w="47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Yimutian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1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Jinhong Deng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Jinhong Deng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and Chief Executive Officer</w:t>
            </w:r>
          </w:p>
        </w:tc>
      </w:tr>
    </w:tbl>
    <w:p>
      <w:pPr>
        <w:pStyle w:val="TextBody"/>
        <w:bidi w:val="0"/>
        <w:spacing w:before="0" w:after="0"/>
        <w:ind w:left="3600" w:right="1008"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ATTORNEY</w:t>
      </w:r>
    </w:p>
    <w:p>
      <w:pPr>
        <w:pStyle w:val="TextBody"/>
        <w:bidi w:val="0"/>
        <w:spacing w:before="0" w:after="0"/>
        <w:ind w:left="720" w:right="72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constitutes and appoints Jinhong Deng and Shijie Chen, his or her true and lawful attorney-in-fact and agent,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and to file the same, with all exhibits thereto, and other documents in connection therewith, with the Securities and Exchange Commission, hereby ratifying and confirming all that said attorneys-in-fact and agents, or any of them, or their substitute or substitutes, may lawfully do or cause to be done by virtue hereof.</w:t>
      </w:r>
    </w:p>
    <w:p>
      <w:pPr>
        <w:pStyle w:val="TextBody"/>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requirements of the Securities Act of 1933, as amended, this Registration Statement on Form F-6 has been signed by the following persons in the capacities indicated below, on April 29,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745"/>
        <w:gridCol w:w="60"/>
        <w:gridCol w:w="4940"/>
      </w:tblGrid>
      <w:tr>
        <w:trPr/>
        <w:tc>
          <w:tcPr>
            <w:tcW w:w="1745" w:type="dxa"/>
            <w:tcBorders/>
            <w:vAlign w:val="center"/>
          </w:tcPr>
          <w:p>
            <w:pPr>
              <w:pStyle w:val="TableContents"/>
              <w:bidi w:val="0"/>
              <w:spacing w:before="0" w:after="283"/>
              <w:jc w:val="center"/>
              <w:rPr>
                <w:b/>
                <w:u w:val="single"/>
              </w:rPr>
            </w:pPr>
            <w:r>
              <w:rPr>
                <w:b/>
                <w:u w:val="single"/>
              </w:rPr>
              <w:t>Signature</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b/>
                <w:u w:val="single"/>
              </w:rPr>
            </w:pPr>
            <w:r>
              <w:rPr>
                <w:b/>
                <w:u w:val="single"/>
              </w:rPr>
              <w:t>Title</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bottom w:val="single" w:sz="8" w:space="0" w:color="000000"/>
            </w:tcBorders>
            <w:tcMar>
              <w:bottom w:w="28" w:type="dxa"/>
            </w:tcMar>
            <w:vAlign w:val="center"/>
          </w:tcPr>
          <w:p>
            <w:pPr>
              <w:pStyle w:val="TableContents"/>
              <w:bidi w:val="0"/>
              <w:spacing w:before="0" w:after="283"/>
              <w:jc w:val="left"/>
              <w:rPr/>
            </w:pPr>
            <w:r>
              <w:rPr/>
              <w:t>/s/ Jinhong Deng</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Chairman of the Board and Chief Executive Officer</w:t>
            </w:r>
          </w:p>
        </w:tc>
      </w:tr>
      <w:tr>
        <w:trPr/>
        <w:tc>
          <w:tcPr>
            <w:tcW w:w="1745" w:type="dxa"/>
            <w:tcBorders/>
            <w:vAlign w:val="center"/>
          </w:tcPr>
          <w:p>
            <w:pPr>
              <w:pStyle w:val="TableContents"/>
              <w:bidi w:val="0"/>
              <w:spacing w:before="0" w:after="283"/>
              <w:jc w:val="left"/>
              <w:rPr/>
            </w:pPr>
            <w:r>
              <w:rPr/>
              <w:t>Jinhong Deng</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(Principal Executive Officer)</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bottom w:val="single" w:sz="8" w:space="0" w:color="000000"/>
            </w:tcBorders>
            <w:tcMar>
              <w:bottom w:w="28" w:type="dxa"/>
            </w:tcMar>
            <w:vAlign w:val="center"/>
          </w:tcPr>
          <w:p>
            <w:pPr>
              <w:pStyle w:val="TableContents"/>
              <w:bidi w:val="0"/>
              <w:spacing w:before="0" w:after="283"/>
              <w:jc w:val="left"/>
              <w:rPr/>
            </w:pPr>
            <w:r>
              <w:rPr/>
              <w:t>/s/ Min Liu</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Director and Senior Vice President</w:t>
            </w:r>
          </w:p>
        </w:tc>
      </w:tr>
      <w:tr>
        <w:trPr/>
        <w:tc>
          <w:tcPr>
            <w:tcW w:w="1745" w:type="dxa"/>
            <w:tcBorders/>
            <w:vAlign w:val="center"/>
          </w:tcPr>
          <w:p>
            <w:pPr>
              <w:pStyle w:val="TableContents"/>
              <w:bidi w:val="0"/>
              <w:spacing w:before="0" w:after="283"/>
              <w:jc w:val="left"/>
              <w:rPr/>
            </w:pPr>
            <w:r>
              <w:rPr/>
              <w:t>Min Liu</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bottom w:val="single" w:sz="8" w:space="0" w:color="000000"/>
            </w:tcBorders>
            <w:tcMar>
              <w:bottom w:w="28" w:type="dxa"/>
            </w:tcMar>
            <w:vAlign w:val="center"/>
          </w:tcPr>
          <w:p>
            <w:pPr>
              <w:pStyle w:val="TableContents"/>
              <w:bidi w:val="0"/>
              <w:spacing w:before="0" w:after="283"/>
              <w:jc w:val="left"/>
              <w:rPr/>
            </w:pPr>
            <w:r>
              <w:rPr/>
              <w:t>/s/ Shijie Chen</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Director and Chief Financial Officer</w:t>
            </w:r>
          </w:p>
        </w:tc>
      </w:tr>
      <w:tr>
        <w:trPr/>
        <w:tc>
          <w:tcPr>
            <w:tcW w:w="1745" w:type="dxa"/>
            <w:tcBorders/>
            <w:vAlign w:val="center"/>
          </w:tcPr>
          <w:p>
            <w:pPr>
              <w:pStyle w:val="TableContents"/>
              <w:bidi w:val="0"/>
              <w:spacing w:before="0" w:after="283"/>
              <w:jc w:val="left"/>
              <w:rPr/>
            </w:pPr>
            <w:r>
              <w:rPr/>
              <w:t>Shijie Chen</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(Principal Financial and Accounting Officer)</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bottom w:val="single" w:sz="8" w:space="0" w:color="000000"/>
            </w:tcBorders>
            <w:tcMar>
              <w:bottom w:w="28" w:type="dxa"/>
            </w:tcMar>
            <w:vAlign w:val="center"/>
          </w:tcPr>
          <w:p>
            <w:pPr>
              <w:pStyle w:val="TableContents"/>
              <w:bidi w:val="0"/>
              <w:spacing w:before="0" w:after="283"/>
              <w:jc w:val="left"/>
              <w:rPr/>
            </w:pPr>
            <w:r>
              <w:rPr/>
              <w:t>/s/ Zhijia Liu</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Director</w:t>
            </w:r>
          </w:p>
        </w:tc>
      </w:tr>
      <w:tr>
        <w:trPr/>
        <w:tc>
          <w:tcPr>
            <w:tcW w:w="1745" w:type="dxa"/>
            <w:tcBorders/>
            <w:vAlign w:val="center"/>
          </w:tcPr>
          <w:p>
            <w:pPr>
              <w:pStyle w:val="TableContents"/>
              <w:bidi w:val="0"/>
              <w:spacing w:before="0" w:after="283"/>
              <w:jc w:val="left"/>
              <w:rPr/>
            </w:pPr>
            <w:r>
              <w:rPr/>
              <w:t>Zhijia Liu</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bottom w:val="single" w:sz="8" w:space="0" w:color="000000"/>
            </w:tcBorders>
            <w:tcMar>
              <w:bottom w:w="28" w:type="dxa"/>
            </w:tcMar>
            <w:vAlign w:val="center"/>
          </w:tcPr>
          <w:p>
            <w:pPr>
              <w:pStyle w:val="TableContents"/>
              <w:bidi w:val="0"/>
              <w:spacing w:before="0" w:after="283"/>
              <w:jc w:val="left"/>
              <w:rPr/>
            </w:pPr>
            <w:r>
              <w:rPr/>
              <w:t>/s/ Mi Zhou</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Director</w:t>
            </w:r>
          </w:p>
        </w:tc>
      </w:tr>
      <w:tr>
        <w:trPr/>
        <w:tc>
          <w:tcPr>
            <w:tcW w:w="1745" w:type="dxa"/>
            <w:tcBorders/>
            <w:vAlign w:val="center"/>
          </w:tcPr>
          <w:p>
            <w:pPr>
              <w:pStyle w:val="TableContents"/>
              <w:bidi w:val="0"/>
              <w:spacing w:before="0" w:after="283"/>
              <w:jc w:val="left"/>
              <w:rPr/>
            </w:pPr>
            <w:r>
              <w:rPr/>
              <w:t>Mi Zhou</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bottom w:val="single" w:sz="8" w:space="0" w:color="000000"/>
            </w:tcBorders>
            <w:tcMar>
              <w:bottom w:w="28" w:type="dxa"/>
            </w:tcMar>
            <w:vAlign w:val="center"/>
          </w:tcPr>
          <w:p>
            <w:pPr>
              <w:pStyle w:val="TableContents"/>
              <w:bidi w:val="0"/>
              <w:spacing w:before="0" w:after="283"/>
              <w:jc w:val="left"/>
              <w:rPr/>
            </w:pPr>
            <w:r>
              <w:rPr/>
              <w:t>/s/ Yu Zhang</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Director</w:t>
            </w:r>
          </w:p>
        </w:tc>
      </w:tr>
      <w:tr>
        <w:trPr/>
        <w:tc>
          <w:tcPr>
            <w:tcW w:w="1745" w:type="dxa"/>
            <w:tcBorders/>
            <w:vAlign w:val="center"/>
          </w:tcPr>
          <w:p>
            <w:pPr>
              <w:pStyle w:val="TableContents"/>
              <w:bidi w:val="0"/>
              <w:spacing w:before="0" w:after="283"/>
              <w:jc w:val="left"/>
              <w:rPr/>
            </w:pPr>
            <w:r>
              <w:rPr/>
              <w:t>Yu Zhang</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bottom w:val="single" w:sz="8" w:space="0" w:color="000000"/>
            </w:tcBorders>
            <w:tcMar>
              <w:bottom w:w="28" w:type="dxa"/>
            </w:tcMar>
            <w:vAlign w:val="center"/>
          </w:tcPr>
          <w:p>
            <w:pPr>
              <w:pStyle w:val="TableContents"/>
              <w:bidi w:val="0"/>
              <w:spacing w:before="0" w:after="283"/>
              <w:jc w:val="left"/>
              <w:rPr/>
            </w:pPr>
            <w:r>
              <w:rPr/>
              <w:t>/s/ Xinghong Hua</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Independent Director</w:t>
            </w:r>
          </w:p>
        </w:tc>
      </w:tr>
      <w:tr>
        <w:trPr/>
        <w:tc>
          <w:tcPr>
            <w:tcW w:w="1745" w:type="dxa"/>
            <w:tcBorders/>
            <w:vAlign w:val="center"/>
          </w:tcPr>
          <w:p>
            <w:pPr>
              <w:pStyle w:val="TableContents"/>
              <w:bidi w:val="0"/>
              <w:spacing w:before="0" w:after="283"/>
              <w:jc w:val="left"/>
              <w:rPr/>
            </w:pPr>
            <w:r>
              <w:rPr/>
              <w:t>Xinghong Hua</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r>
        <w:trPr/>
        <w:tc>
          <w:tcPr>
            <w:tcW w:w="1745" w:type="dxa"/>
            <w:tcBorders>
              <w:bottom w:val="single" w:sz="8" w:space="0" w:color="000000"/>
            </w:tcBorders>
            <w:tcMar>
              <w:bottom w:w="28" w:type="dxa"/>
            </w:tcMar>
            <w:vAlign w:val="center"/>
          </w:tcPr>
          <w:p>
            <w:pPr>
              <w:pStyle w:val="TableContents"/>
              <w:bidi w:val="0"/>
              <w:spacing w:before="0" w:after="283"/>
              <w:jc w:val="left"/>
              <w:rPr/>
            </w:pPr>
            <w:r>
              <w:rPr/>
              <w:t>/s/ Xiaowei Wang</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Independent Director</w:t>
            </w:r>
          </w:p>
        </w:tc>
      </w:tr>
      <w:tr>
        <w:trPr/>
        <w:tc>
          <w:tcPr>
            <w:tcW w:w="1745" w:type="dxa"/>
            <w:tcBorders/>
            <w:vAlign w:val="center"/>
          </w:tcPr>
          <w:p>
            <w:pPr>
              <w:pStyle w:val="TableContents"/>
              <w:bidi w:val="0"/>
              <w:spacing w:before="0" w:after="283"/>
              <w:jc w:val="left"/>
              <w:rPr/>
            </w:pPr>
            <w:r>
              <w:rPr/>
              <w:t>Xiaowei Wang</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U.S. REPRESENTATIVE OF THE REGISTRANT</w:t>
      </w:r>
    </w:p>
    <w:p>
      <w:pPr>
        <w:pStyle w:val="TextBody"/>
        <w:bidi w:val="0"/>
        <w:spacing w:before="0" w:after="0"/>
        <w:ind w:left="720" w:right="0" w:firstLine="72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United States Securities Act of 1933, as amended, the undersigned, the registrant’s duly authorized representative in the United States of Yimutian Inc., has signed this Registration Statement on Form F-6 in the City of New York, State of New York, on April 29, 2026.</w:t>
      </w:r>
    </w:p>
    <w:p>
      <w:pPr>
        <w:pStyle w:val="TextBody"/>
        <w:bidi w:val="0"/>
        <w:spacing w:before="0" w:after="0"/>
        <w:ind w:left="0" w:right="0" w:firstLine="49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590"/>
        <w:gridCol w:w="4535"/>
      </w:tblGrid>
      <w:tr>
        <w:trPr/>
        <w:tc>
          <w:tcPr>
            <w:tcW w:w="75" w:type="dxa"/>
            <w:tcBorders/>
            <w:vAlign w:val="center"/>
          </w:tcPr>
          <w:p>
            <w:pPr>
              <w:pStyle w:val="TableContents"/>
              <w:bidi w:val="0"/>
              <w:spacing w:before="0" w:after="283"/>
              <w:jc w:val="left"/>
              <w:rPr/>
            </w:pPr>
            <w:r>
              <w:rPr/>
              <w:t> </w:t>
            </w:r>
          </w:p>
        </w:tc>
        <w:tc>
          <w:tcPr>
            <w:tcW w:w="51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Authorized U.S. Representative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535" w:type="dxa"/>
            <w:tcBorders/>
            <w:vAlign w:val="center"/>
          </w:tcPr>
          <w:p>
            <w:pPr>
              <w:pStyle w:val="TableContents"/>
              <w:bidi w:val="0"/>
              <w:spacing w:before="0" w:after="283"/>
              <w:jc w:val="left"/>
              <w:rPr>
                <w:sz w:val="20"/>
              </w:rPr>
            </w:pPr>
            <w:r>
              <w:rPr>
                <w:sz w:val="20"/>
              </w:rPr>
              <w:t>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Vice-President on behalf of Cogency Global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center"/>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1340"/>
        <w:gridCol w:w="6905"/>
        <w:gridCol w:w="75"/>
      </w:tblGrid>
      <w:tr>
        <w:trPr/>
        <w:tc>
          <w:tcPr>
            <w:tcW w:w="1340" w:type="dxa"/>
            <w:tcBorders/>
            <w:shd w:fill="FFFF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Exhibit </w:t>
            </w:r>
            <w:r>
              <w:rPr>
                <w:rFonts w:ascii="Times New Roman;Times;Serif" w:hAnsi="Times New Roman;Times;Serif"/>
                <w:b w:val="false"/>
                <w:i w:val="false"/>
                <w:caps w:val="false"/>
                <w:smallCaps w:val="false"/>
                <w:sz w:val="20"/>
                <w:u w:val="single"/>
              </w:rPr>
              <w:t>Number</w:t>
            </w:r>
          </w:p>
        </w:tc>
        <w:tc>
          <w:tcPr>
            <w:tcW w:w="6905" w:type="dxa"/>
            <w:tcBorders/>
            <w:shd w:fill="FFFF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center"/>
              <w:rPr/>
            </w:pPr>
            <w:r>
              <w:rPr/>
              <w:t> </w:t>
            </w:r>
          </w:p>
        </w:tc>
        <w:tc>
          <w:tcPr>
            <w:tcW w:w="6905" w:type="dxa"/>
            <w:tcBorders/>
            <w:shd w:fill="FFFF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center"/>
              <w:rPr/>
            </w:pPr>
            <w:r>
              <w:rPr/>
              <w:t>(a)(3)</w:t>
            </w:r>
          </w:p>
        </w:tc>
        <w:tc>
          <w:tcPr>
            <w:tcW w:w="6905" w:type="dxa"/>
            <w:tcBorders/>
            <w:shd w:fill="FFFFFF" w:val="clear"/>
            <w:vAlign w:val="center"/>
          </w:tcPr>
          <w:p>
            <w:pPr>
              <w:pStyle w:val="TableContents"/>
              <w:bidi w:val="0"/>
              <w:spacing w:before="0" w:after="283"/>
              <w:jc w:val="left"/>
              <w:rPr/>
            </w:pPr>
            <w:r>
              <w:rPr/>
              <w:t>Form of ADR</w:t>
            </w:r>
          </w:p>
        </w:tc>
        <w:tc>
          <w:tcPr>
            <w:tcW w:w="75" w:type="dxa"/>
            <w:tcBorders/>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center"/>
              <w:rPr/>
            </w:pPr>
            <w:r>
              <w:rPr/>
              <w:t> </w:t>
            </w:r>
          </w:p>
        </w:tc>
        <w:tc>
          <w:tcPr>
            <w:tcW w:w="6905" w:type="dxa"/>
            <w:tcBorders/>
            <w:shd w:fill="FFFF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center"/>
              <w:rPr/>
            </w:pPr>
            <w:r>
              <w:rPr/>
              <w:t>(d)</w:t>
            </w:r>
          </w:p>
        </w:tc>
        <w:tc>
          <w:tcPr>
            <w:tcW w:w="6905" w:type="dxa"/>
            <w:tcBorders/>
            <w:shd w:fill="FFFFFF" w:val="clear"/>
            <w:vAlign w:val="center"/>
          </w:tcPr>
          <w:p>
            <w:pPr>
              <w:pStyle w:val="TableContents"/>
              <w:bidi w:val="0"/>
              <w:spacing w:before="0" w:after="283"/>
              <w:jc w:val="left"/>
              <w:rPr/>
            </w:pPr>
            <w:r>
              <w:rPr/>
              <w:t>Opinion of Ziegler, Ziegler &amp; Associates LLP, counsel to the Depositary</w:t>
            </w:r>
          </w:p>
        </w:tc>
        <w:tc>
          <w:tcPr>
            <w:tcW w:w="75" w:type="dxa"/>
            <w:tcBorders/>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center"/>
              <w:rPr/>
            </w:pPr>
            <w:r>
              <w:rPr/>
              <w:t> </w:t>
            </w:r>
          </w:p>
        </w:tc>
        <w:tc>
          <w:tcPr>
            <w:tcW w:w="6905" w:type="dxa"/>
            <w:tcBorders/>
            <w:shd w:fill="FFFF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center"/>
              <w:rPr/>
            </w:pPr>
            <w:r>
              <w:rPr/>
              <w:t>(e)</w:t>
            </w:r>
          </w:p>
        </w:tc>
        <w:tc>
          <w:tcPr>
            <w:tcW w:w="6905" w:type="dxa"/>
            <w:tcBorders/>
            <w:shd w:fill="FFFFFF" w:val="clear"/>
            <w:vAlign w:val="center"/>
          </w:tcPr>
          <w:p>
            <w:pPr>
              <w:pStyle w:val="TableContents"/>
              <w:bidi w:val="0"/>
              <w:spacing w:before="0" w:after="283"/>
              <w:jc w:val="left"/>
              <w:rPr/>
            </w:pPr>
            <w:r>
              <w:rPr/>
              <w:t>Rule 466 Certification</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bookmarkStart w:id="2" w:name="e665427_ex99-a3.htm"/>
      <w:bookmarkStart w:id="3" w:name="kse665427_ex99a3"/>
      <w:bookmarkEnd w:id="2"/>
      <w:bookmarkEnd w:id="3"/>
      <w:r>
        <w:rPr/>
        <w:t> </w:t>
      </w:r>
      <w:r>
        <w:br w:type="page"/>
      </w:r>
    </w:p>
    <w:tbl>
      <w:tblPr>
        <w:tblW w:w="8425" w:type="dxa"/>
        <w:jc w:val="left"/>
        <w:tblInd w:w="0" w:type="dxa"/>
        <w:tblLayout w:type="fixed"/>
        <w:tblCellMar>
          <w:top w:w="0" w:type="dxa"/>
          <w:left w:w="0" w:type="dxa"/>
          <w:bottom w:w="0" w:type="dxa"/>
          <w:right w:w="0" w:type="dxa"/>
        </w:tblCellMar>
      </w:tblPr>
      <w:tblGrid>
        <w:gridCol w:w="815"/>
        <w:gridCol w:w="7610"/>
      </w:tblGrid>
      <w:tr>
        <w:trPr/>
        <w:tc>
          <w:tcPr>
            <w:tcW w:w="815" w:type="dxa"/>
            <w:tcBorders/>
            <w:vAlign w:val="center"/>
          </w:tcPr>
          <w:p>
            <w:pPr>
              <w:pStyle w:val="TableContents"/>
              <w:bidi w:val="0"/>
              <w:spacing w:before="0" w:after="283"/>
              <w:jc w:val="left"/>
              <w:rPr>
                <w:u w:val="single"/>
              </w:rPr>
            </w:pPr>
            <w:r>
              <w:rPr>
                <w:u w:val="single"/>
              </w:rPr>
              <w:t>            </w:t>
            </w:r>
          </w:p>
        </w:tc>
        <w:tc>
          <w:tcPr>
            <w:tcW w:w="76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of ADSs:</w:t>
            </w:r>
          </w:p>
        </w:tc>
      </w:tr>
      <w:tr>
        <w:trPr/>
        <w:tc>
          <w:tcPr>
            <w:tcW w:w="8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w:t>
            </w:r>
          </w:p>
        </w:tc>
        <w:tc>
          <w:tcPr>
            <w:tcW w:w="7610"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7610"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Each ADS represents [Twenty Five][Three Hundred and Seventy Five]</w:t>
            </w:r>
            <w:r>
              <w:rPr>
                <w:position w:val="8"/>
                <w:sz w:val="19"/>
              </w:rPr>
              <w:t>1</w:t>
            </w:r>
            <w:r>
              <w:rPr/>
              <w:t xml:space="preserve"> Shares</w:t>
            </w:r>
          </w:p>
        </w:tc>
      </w:tr>
      <w:tr>
        <w:trPr/>
        <w:tc>
          <w:tcPr>
            <w:tcW w:w="81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RECEIPT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under the laws of the Cayman Islands)</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 national banking association organized under the laws of the United States of America, as depositary hereunder (in such capacity,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hereby certifies that ___________________ is the registered owner (a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of ___________________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each (subject to paragraph (13) (</w:t>
      </w:r>
      <w:r>
        <w:rPr>
          <w:rFonts w:ascii="Times New Roman;Times;Serif" w:hAnsi="Times New Roman;Times;Serif"/>
          <w:b w:val="false"/>
          <w:i/>
          <w:caps w:val="false"/>
          <w:smallCaps w:val="false"/>
          <w:sz w:val="20"/>
        </w:rPr>
        <w:t>Changes Affecting Deposited Securities</w:t>
      </w:r>
      <w:r>
        <w:rPr>
          <w:rFonts w:ascii="Times New Roman;Times;Serif" w:hAnsi="Times New Roman;Times;Serif"/>
          <w:b w:val="false"/>
          <w:i w:val="false"/>
          <w:caps w:val="false"/>
          <w:smallCaps w:val="false"/>
          <w:sz w:val="20"/>
        </w:rPr>
        <w:t>)) representing three hundred and seventy five (375) Class A ordinary shares (including the rights to receive Shares described in paragraph (1) (</w:t>
      </w:r>
      <w:r>
        <w:rPr>
          <w:rFonts w:ascii="Times New Roman;Times;Serif" w:hAnsi="Times New Roman;Times;Serif"/>
          <w:b w:val="false"/>
          <w:i/>
          <w:caps w:val="false"/>
          <w:smallCaps w:val="false"/>
          <w:sz w:val="20"/>
        </w:rPr>
        <w:t>Issuance of ADSs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and, together with any other securities, cash or property from time to time held by the Depositary in respect or in lieu of deposited Shares, the "</w:t>
      </w:r>
      <w:r>
        <w:rPr>
          <w:rFonts w:ascii="Times New Roman;Times;Serif" w:hAnsi="Times New Roman;Times;Serif"/>
          <w:b/>
          <w:i w:val="false"/>
          <w:caps w:val="false"/>
          <w:smallCaps w:val="false"/>
          <w:sz w:val="20"/>
        </w:rPr>
        <w:t>Deposited Securities</w:t>
      </w:r>
      <w:r>
        <w:rPr>
          <w:rFonts w:ascii="Times New Roman;Times;Serif" w:hAnsi="Times New Roman;Times;Serif"/>
          <w:b w:val="false"/>
          <w:i w:val="false"/>
          <w:caps w:val="false"/>
          <w:smallCaps w:val="false"/>
          <w:sz w:val="20"/>
        </w:rPr>
        <w:t>"), of Yimutian Inc., an exempt company with limited liability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deposited under the Deposit Agreement, dated as of August 7, 2025 (as amended from time to time, the "</w:t>
      </w:r>
      <w:r>
        <w:rPr>
          <w:rFonts w:ascii="Times New Roman;Times;Serif" w:hAnsi="Times New Roman;Times;Serif"/>
          <w:b/>
          <w:i w:val="false"/>
          <w:caps w:val="false"/>
          <w:smallCaps w:val="false"/>
          <w:sz w:val="20"/>
        </w:rPr>
        <w:t>Deposit Agreement</w:t>
      </w:r>
      <w:r>
        <w:rPr>
          <w:rFonts w:ascii="Times New Roman;Times;Serif" w:hAnsi="Times New Roman;Times;Serif"/>
          <w:b w:val="false"/>
          <w:i w:val="false"/>
          <w:caps w:val="false"/>
          <w:smallCaps w:val="false"/>
          <w:sz w:val="20"/>
        </w:rPr>
        <w:t>"), among the Company, the Depositary and all Holders and Beneficial Owners from time to time of American Depositary Receipts issued thereunder ("</w:t>
      </w:r>
      <w:r>
        <w:rPr>
          <w:rFonts w:ascii="Times New Roman;Times;Serif" w:hAnsi="Times New Roman;Times;Serif"/>
          <w:b/>
          <w:i w:val="false"/>
          <w:caps w:val="false"/>
          <w:smallCaps w:val="false"/>
          <w:sz w:val="20"/>
        </w:rPr>
        <w:t>ADRs</w:t>
      </w:r>
      <w:r>
        <w:rPr>
          <w:rFonts w:ascii="Times New Roman;Times;Serif" w:hAnsi="Times New Roman;Times;Serif"/>
          <w:b w:val="false"/>
          <w:i w:val="false"/>
          <w:caps w:val="false"/>
          <w:smallCaps w:val="false"/>
          <w:sz w:val="20"/>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Prior to the open of trading of the ADSs on the Nasdaq Capital Market on May 18, 2026 each ADS represents twenty-five (25) Shares. Effective as of the open of trading of the ADSs on the Nasdaq Capital Market on May 18, 2026 each ADS will represent three hundred and seventy five (375)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Issuance of ADSs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Issuance</w:t>
      </w:r>
      <w:r>
        <w:rPr>
          <w:rFonts w:ascii="Times New Roman;Times;Serif" w:hAnsi="Times New Roman;Times;Serif"/>
          <w:b w:val="false"/>
          <w:i w:val="false"/>
          <w:caps w:val="false"/>
          <w:smallCaps w:val="false"/>
          <w:sz w:val="20"/>
        </w:rPr>
        <w:t>. This ADR is one of the ADRs issued under the Deposit Agreement. Subject to the other provisions hereof, the Depositary may so issue ADRs for delivery at the Transfer Office only against deposit of: (i) Shares in a form satisfactory to the Custodian; or (ii) rights to receive Shares from the Company or any registrar, transfer agent, clearing agent or other entity recording Share ownership or transactions. At the request, risk and expense of the person depositing Shares or rights to receive Shares, the Depositary may accept such Shares and/or deposits for forwarding to the Custodian and may deliver ADRs at a place other than its office.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Lending</w:t>
      </w:r>
      <w:r>
        <w:rPr>
          <w:rFonts w:ascii="Times New Roman;Times;Serif" w:hAnsi="Times New Roman;Times;Serif"/>
          <w:b w:val="false"/>
          <w:i w:val="false"/>
          <w:caps w:val="false"/>
          <w:smallCaps w:val="false"/>
          <w:sz w:val="20"/>
        </w:rPr>
        <w:t>. In its capacity as Depositary, the Depositary shall not lend Shares or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Representations and Warranties of Depositors</w:t>
      </w:r>
      <w:r>
        <w:rPr>
          <w:rFonts w:ascii="Times New Roman;Times;Serif" w:hAnsi="Times New Roman;Times;Serif"/>
          <w:b w:val="false"/>
          <w:i w:val="false"/>
          <w:caps w:val="false"/>
          <w:smallCaps w:val="false"/>
          <w:sz w:val="20"/>
        </w:rPr>
        <w:t>. Every person depositing Shares under the Deposit Agreement represents and warrants that: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64" w:type="dxa"/>
            <w:tcBorders/>
            <w:vAlign w:val="center"/>
          </w:tcPr>
          <w:p>
            <w:pPr>
              <w:pStyle w:val="TableContents"/>
              <w:bidi w:val="0"/>
              <w:spacing w:before="0" w:after="283"/>
              <w:jc w:val="left"/>
              <w:rPr/>
            </w:pPr>
            <w:r>
              <w:rPr/>
              <w:t>such Shares and the certificates therefor are duly authorized, validly issued and outstanding, fully paid, nonassessable and legally obtained by such person,</w:t>
            </w:r>
          </w:p>
        </w:tc>
      </w:tr>
    </w:tbl>
    <w:p>
      <w:pPr>
        <w:pStyle w:val="TextBody"/>
        <w:bidi w:val="0"/>
        <w:spacing w:before="0" w:after="0"/>
        <w:ind w:left="21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(ii)</w:t>
            </w:r>
          </w:p>
        </w:tc>
        <w:tc>
          <w:tcPr>
            <w:tcW w:w="9885" w:type="dxa"/>
            <w:tcBorders/>
            <w:vAlign w:val="center"/>
          </w:tcPr>
          <w:p>
            <w:pPr>
              <w:pStyle w:val="TableContents"/>
              <w:bidi w:val="0"/>
              <w:spacing w:before="0" w:after="283"/>
              <w:jc w:val="left"/>
              <w:rPr/>
            </w:pPr>
            <w:r>
              <w:rPr/>
              <w:t>all pre-emptive and comparable rights, if any, with respect to such Shares have been validly waived or exercised,</w:t>
            </w:r>
          </w:p>
        </w:tc>
      </w:tr>
    </w:tbl>
    <w:p>
      <w:pPr>
        <w:pStyle w:val="TextBody"/>
        <w:bidi w:val="0"/>
        <w:spacing w:before="0" w:after="0"/>
        <w:ind w:left="21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595"/>
        <w:gridCol w:w="9546"/>
      </w:tblGrid>
      <w:tr>
        <w:trPr/>
        <w:tc>
          <w:tcPr>
            <w:tcW w:w="6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pPr>
            <w:r>
              <w:rPr/>
              <w:t>(iii)</w:t>
            </w:r>
          </w:p>
        </w:tc>
        <w:tc>
          <w:tcPr>
            <w:tcW w:w="9546" w:type="dxa"/>
            <w:tcBorders/>
            <w:vAlign w:val="center"/>
          </w:tcPr>
          <w:p>
            <w:pPr>
              <w:pStyle w:val="TableContents"/>
              <w:bidi w:val="0"/>
              <w:spacing w:before="0" w:after="283"/>
              <w:jc w:val="left"/>
              <w:rPr/>
            </w:pPr>
            <w:r>
              <w:rPr/>
              <w:t>the person making such deposit is duly authorized so to do,</w:t>
            </w:r>
          </w:p>
        </w:tc>
      </w:tr>
    </w:tbl>
    <w:p>
      <w:pPr>
        <w:pStyle w:val="TextBody"/>
        <w:bidi w:val="0"/>
        <w:spacing w:before="0" w:after="0"/>
        <w:ind w:left="21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2"/>
        <w:gridCol w:w="9836"/>
      </w:tblGrid>
      <w:tr>
        <w:trPr/>
        <w:tc>
          <w:tcPr>
            <w:tcW w:w="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(iv)</w:t>
            </w:r>
          </w:p>
        </w:tc>
        <w:tc>
          <w:tcPr>
            <w:tcW w:w="9836" w:type="dxa"/>
            <w:tcBorders/>
            <w:vAlign w:val="center"/>
          </w:tcPr>
          <w:p>
            <w:pPr>
              <w:pStyle w:val="TableContents"/>
              <w:bidi w:val="0"/>
              <w:spacing w:before="0" w:after="283"/>
              <w:jc w:val="left"/>
              <w:rPr/>
            </w:pPr>
            <w:r>
              <w:rPr/>
              <w:t>the Shares presented for deposit are free and clear of any lien, encumbrance, security interest, charge, mortgage or adverse claim and</w:t>
            </w:r>
          </w:p>
        </w:tc>
      </w:tr>
    </w:tbl>
    <w:p>
      <w:pPr>
        <w:pStyle w:val="TextBody"/>
        <w:bidi w:val="0"/>
        <w:spacing w:before="0" w:after="0"/>
        <w:ind w:left="21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(v)</w:t>
            </w:r>
          </w:p>
        </w:tc>
        <w:tc>
          <w:tcPr>
            <w:tcW w:w="9945" w:type="dxa"/>
            <w:tcBorders/>
            <w:vAlign w:val="center"/>
          </w:tcPr>
          <w:p>
            <w:pPr>
              <w:pStyle w:val="TableContents"/>
              <w:bidi w:val="0"/>
              <w:spacing w:before="0" w:after="283"/>
              <w:jc w:val="left"/>
              <w:rPr/>
            </w:pPr>
            <w:r>
              <w:rPr/>
              <w:t>such Shares (A) are not "restricted securities" as such term is defined in Rule 144 under the Securities Act of 1933 ("</w:t>
            </w:r>
            <w:r>
              <w:rPr>
                <w:b/>
              </w:rPr>
              <w:t>Restricted Securities</w:t>
            </w:r>
            <w:r>
              <w:rPr/>
              <w:t>") unless at the time of deposit the requirements of paragraphs (c), (e), (f) and (h) of Rule 144 shall not apply and such Shares may be freely 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that enable the Shares to be freely sold (in the form of ADSs) will be fully complied with and, as a result thereof, all of the ADSs issued in respect of such Shares will not be on the sale thereof, Restricted Securities.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representations and warranties shall survive the deposit and withdrawal of Shares and the issuance and cancellation of ADSs in respect thereof and the transfer of such ADSs. If any of the representations or warranties are incorrect in any way, the Company and the Depositary may, at the cost of the breaching Holder (including, without limitation, any Holder acting on behalf of a third party) and/or Beneficial Owner, take any and all actions necessary to correct the consequences of such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A-2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Depositary may refuse to accept for such deposit any Shares identified by the Company in order to facilitate compliance with the requirements of the securities laws, rules and regulations of the United States, including, without limitation, the Securities Act of 1933 and the rules and regulations made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Withdrawal of Deposited Securities</w:t>
      </w:r>
      <w:r>
        <w:rPr>
          <w:rFonts w:ascii="Times New Roman;Times;Serif" w:hAnsi="Times New Roman;Times;Serif"/>
          <w:b w:val="false"/>
          <w:i w:val="false"/>
          <w:caps w:val="false"/>
          <w:smallCaps w:val="false"/>
          <w:sz w:val="20"/>
        </w:rPr>
        <w:t>. Subject to paragraphs (4) (</w:t>
      </w:r>
      <w:r>
        <w:rPr>
          <w:rFonts w:ascii="Times New Roman;Times;Serif" w:hAnsi="Times New Roman;Times;Serif"/>
          <w:b w:val="false"/>
          <w:i/>
          <w:caps w:val="false"/>
          <w:smallCaps w:val="false"/>
          <w:sz w:val="20"/>
        </w:rPr>
        <w:t>Certain Limitations to Registration, Transfer etc.</w:t>
      </w:r>
      <w:r>
        <w:rPr>
          <w:rFonts w:ascii="Times New Roman;Times;Serif" w:hAnsi="Times New Roman;Times;Serif"/>
          <w:b w:val="false"/>
          <w:i w:val="false"/>
          <w:caps w:val="false"/>
          <w:smallCaps w:val="false"/>
          <w:sz w:val="20"/>
        </w:rPr>
        <w:t>), (5) (</w:t>
      </w:r>
      <w:r>
        <w:rPr>
          <w:rFonts w:ascii="Times New Roman;Times;Serif" w:hAnsi="Times New Roman;Times;Serif"/>
          <w:b w:val="false"/>
          <w:i/>
          <w:caps w:val="false"/>
          <w:smallCaps w:val="false"/>
          <w:sz w:val="20"/>
        </w:rPr>
        <w:t>Liability of Holder or Beneficial Owner for Taxes, Duties and Other Charges</w:t>
      </w:r>
      <w:r>
        <w:rPr>
          <w:rFonts w:ascii="Times New Roman;Times;Serif" w:hAnsi="Times New Roman;Times;Serif"/>
          <w:b w:val="false"/>
          <w:i w:val="false"/>
          <w:caps w:val="false"/>
          <w:smallCaps w:val="false"/>
          <w:sz w:val="20"/>
        </w:rPr>
        <w:t>) and (7)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and to the provisions of or governing the Deposited Securities (including, without limitation, the Company's governing documents and all applicable laws, rules and regulations), upon surrender of (a) a certificated ADR in a form satisfactory to the Depositary at the Transfer Office or (b) proper instructions and documentation in the case of a Direct Registration ADR, the Holder hereof is entitled to delivery at the Custodian's office (or from the Custodian to the extent dematerialized) of the Deposited Securities at the time represented by the ADSs evidenced by this ADR. At the request, risk and expense of the Holder hereof, the Depositary may deliver such Deposited Securities (including any certificates therefor)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Transfers, Split-Ups and Combinations of ADRs</w:t>
      </w:r>
      <w:r>
        <w:rPr>
          <w:rFonts w:ascii="Times New Roman;Times;Serif" w:hAnsi="Times New Roman;Times;Serif"/>
          <w:b w:val="false"/>
          <w:i w:val="false"/>
          <w:caps w:val="false"/>
          <w:smallCaps w:val="false"/>
          <w:sz w:val="20"/>
        </w:rPr>
        <w:t>. The Depositary or its agent will keep, at a designated transfer office (the "</w:t>
      </w:r>
      <w:r>
        <w:rPr>
          <w:rFonts w:ascii="Times New Roman;Times;Serif" w:hAnsi="Times New Roman;Times;Serif"/>
          <w:b/>
          <w:i w:val="false"/>
          <w:caps w:val="false"/>
          <w:smallCaps w:val="false"/>
          <w:sz w:val="20"/>
        </w:rPr>
        <w:t>Transfer Office</w:t>
      </w:r>
      <w:r>
        <w:rPr>
          <w:rFonts w:ascii="Times New Roman;Times;Serif" w:hAnsi="Times New Roman;Times;Serif"/>
          <w:b w:val="false"/>
          <w:i w:val="false"/>
          <w:caps w:val="false"/>
          <w:smallCaps w:val="false"/>
          <w:sz w:val="20"/>
        </w:rPr>
        <w:t>"), (a) a register (the "</w:t>
      </w:r>
      <w:r>
        <w:rPr>
          <w:rFonts w:ascii="Times New Roman;Times;Serif" w:hAnsi="Times New Roman;Times;Serif"/>
          <w:b/>
          <w:i w:val="false"/>
          <w:caps w:val="false"/>
          <w:smallCaps w:val="false"/>
          <w:sz w:val="20"/>
        </w:rPr>
        <w:t>ADR Register</w:t>
      </w:r>
      <w:r>
        <w:rPr>
          <w:rFonts w:ascii="Times New Roman;Times;Serif" w:hAnsi="Times New Roman;Times;Serif"/>
          <w:b w:val="false"/>
          <w:i w:val="false"/>
          <w:caps w:val="false"/>
          <w:smallCaps w:val="false"/>
          <w:sz w:val="20"/>
        </w:rPr>
        <w:t xml:space="preserve">")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and/or upon delivery to the Depositary of proper instruments of transfer, is transferable by delivery with the same effect as in the case of negotiable instruments under the laws of the State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or any ADR to any Beneficial Owner, unless such Beneficial Owner is the Holder hereof. Subject to paragraphs (4) (</w:t>
      </w:r>
      <w:r>
        <w:rPr>
          <w:rFonts w:ascii="Times New Roman;Times;Serif" w:hAnsi="Times New Roman;Times;Serif"/>
          <w:b w:val="false"/>
          <w:i/>
          <w:caps w:val="false"/>
          <w:smallCaps w:val="false"/>
          <w:sz w:val="20"/>
        </w:rPr>
        <w:t>Certain Limitations to Registration, Transfer, etc.</w:t>
      </w:r>
      <w:r>
        <w:rPr>
          <w:rFonts w:ascii="Times New Roman;Times;Serif" w:hAnsi="Times New Roman;Times;Serif"/>
          <w:b w:val="false"/>
          <w:i w:val="false"/>
          <w:caps w:val="false"/>
          <w:smallCaps w:val="false"/>
          <w:sz w:val="20"/>
        </w:rPr>
        <w:t>) and (5) (</w:t>
      </w:r>
      <w:r>
        <w:rPr>
          <w:rFonts w:ascii="Times New Roman;Times;Serif" w:hAnsi="Times New Roman;Times;Serif"/>
          <w:b w:val="false"/>
          <w:i/>
          <w:caps w:val="false"/>
          <w:smallCaps w:val="false"/>
          <w:sz w:val="20"/>
        </w:rPr>
        <w:t>Liability of Holder or Beneficial Owner for Taxes, Duties and Other Charges</w:t>
      </w:r>
      <w:r>
        <w:rPr>
          <w:rFonts w:ascii="Times New Roman;Times;Serif" w:hAnsi="Times New Roman;Times;Serif"/>
          <w:b w:val="false"/>
          <w:i w:val="false"/>
          <w:caps w:val="false"/>
          <w:smallCaps w:val="false"/>
          <w:sz w:val="20"/>
        </w:rPr>
        <w:t xml:space="preserve">),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Depositary may close the ADR Register (and/or any portion thereof) at any time or from time to time when deemed expedient by it.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A-3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Certain Limitations to Registration, Transfer, etc</w:t>
      </w:r>
      <w:r>
        <w:rPr>
          <w:rFonts w:ascii="Times New Roman;Times;Serif" w:hAnsi="Times New Roman;Times;Serif"/>
          <w:b w:val="false"/>
          <w:i w:val="false"/>
          <w:caps w:val="false"/>
          <w:smallCaps w:val="false"/>
          <w:sz w:val="20"/>
        </w:rPr>
        <w:t>. Prior to the issue, registration, registration of transfer, split-up or combination of any ADR, the delivery of any distribution in respect thereof, or, subject to the last sentence of paragraph (2) (</w:t>
      </w:r>
      <w:r>
        <w:rPr>
          <w:rFonts w:ascii="Times New Roman;Times;Serif" w:hAnsi="Times New Roman;Times;Serif"/>
          <w:b w:val="false"/>
          <w:i/>
          <w:caps w:val="false"/>
          <w:smallCaps w:val="false"/>
          <w:sz w:val="20"/>
        </w:rPr>
        <w:t>Withdrawal of Deposited Securities</w:t>
      </w:r>
      <w:r>
        <w:rPr>
          <w:rFonts w:ascii="Times New Roman;Times;Serif" w:hAnsi="Times New Roman;Times;Serif"/>
          <w:b w:val="false"/>
          <w:i w:val="false"/>
          <w:caps w:val="false"/>
          <w:smallCaps w:val="false"/>
          <w:sz w:val="20"/>
        </w:rPr>
        <w:t>), the withdrawal of any Deposited Securities, and from time to time in the case of clause (b)(ii) of this paragraph (4), the Company, the Depositary or the Custodian may require: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of this ADR;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compliance with such regulations as the Depositary may establish consistent with the Deposit Agreement or as the Depositary believes are required, necessary or advisable in order to comply with applicable laws, rules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ADRs, the acceptance of deposits of Shares, the registration, registration of transfer, split-up or combination of ADRs or, subject to the last sentence of paragraph (2) (</w:t>
      </w:r>
      <w:r>
        <w:rPr>
          <w:rFonts w:ascii="Times New Roman;Times;Serif" w:hAnsi="Times New Roman;Times;Serif"/>
          <w:b w:val="false"/>
          <w:i/>
          <w:caps w:val="false"/>
          <w:smallCaps w:val="false"/>
          <w:sz w:val="20"/>
        </w:rPr>
        <w:t>Withdrawal of Deposited Securities</w:t>
      </w:r>
      <w:r>
        <w:rPr>
          <w:rFonts w:ascii="Times New Roman;Times;Serif" w:hAnsi="Times New Roman;Times;Serif"/>
          <w:b w:val="false"/>
          <w:i w:val="false"/>
          <w:caps w:val="false"/>
          <w:smallCaps w:val="false"/>
          <w:sz w:val="20"/>
        </w:rPr>
        <w:t>), the withdrawal and delivery of Deposited Securities may be suspended, generally or in particular instances, when the ADR Register or any register for Deposited Securities is closed or when any such action is deemed required, necessary or advisable by the Depositary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A-4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Liability of Holder or Beneficial Owner for Taxes, Duties and Other Charges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Liability for Taxes</w:t>
      </w:r>
      <w:r>
        <w:rPr>
          <w:rFonts w:ascii="Times New Roman;Times;Serif" w:hAnsi="Times New Roman;Times;Serif"/>
          <w:b w:val="false"/>
          <w:i w:val="false"/>
          <w:caps w:val="false"/>
          <w:smallCaps w:val="false"/>
          <w:sz w:val="20"/>
        </w:rPr>
        <w:t>. If any tax or other governmental charges (including any penalties and/or interest) shall become payable by or on 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Holder hereof to the Depositary and by holding or owning, or having held or owned, this ADR or any ADSs evidenced hereby, the Holder and all Beneficial Owners hereof and thereof, and all prior Holders and Beneficial Owners hereof and thereof, jointly and severally, agree to indemnify, defend and save harmless each of the Depositary and its agents in respect of such tax or other governmental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Depositary, nor the Company, nor any of their respective agents, shall be liable to Holders or Beneficial Owners of the ADSs and ADRs for failure of any of them to comply with applicable tax laws, rules and/or regulations.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Depositary's right to seek payment from current and former Holders and Beneficial Owners, the Holder(s) and Beneficial Owner(s) hereof (and all prior Holder(s) and Beneficial Owner(s) hereof) acknowledge and agree that the Depositary has no obligation to seek payment of amounts owing under this paragraph (5) from any current or former Beneficial Owner.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refuse to effect any registration, registration of transfer, split-up or combination hereof or, subject to the last sentence of paragraph (2) (</w:t>
      </w:r>
      <w:r>
        <w:rPr>
          <w:rFonts w:ascii="Times New Roman;Times;Serif" w:hAnsi="Times New Roman;Times;Serif"/>
          <w:b w:val="false"/>
          <w:i/>
          <w:caps w:val="false"/>
          <w:smallCaps w:val="false"/>
          <w:sz w:val="20"/>
        </w:rPr>
        <w:t>Withdrawal of Deposited Securities</w:t>
      </w:r>
      <w:r>
        <w:rPr>
          <w:rFonts w:ascii="Times New Roman;Times;Serif" w:hAnsi="Times New Roman;Times;Serif"/>
          <w:b w:val="false"/>
          <w:i w:val="false"/>
          <w:caps w:val="false"/>
          <w:smallCaps w:val="false"/>
          <w:sz w:val="20"/>
        </w:rPr>
        <w:t>), any withdrawal of such Deposited Securities until such payment is made.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also deduct from any distributions on or in respect of Deposited Securities, or may sell by public or private sale for the account of the Holder hereof any part or all of such Deposited Securities,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A-5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Indemnification Related to Taxes</w:t>
      </w:r>
      <w:r>
        <w:rPr>
          <w:rFonts w:ascii="Times New Roman;Times;Serif" w:hAnsi="Times New Roman;Times;Serif"/>
          <w:b w:val="false"/>
          <w:i w:val="false"/>
          <w:caps w:val="false"/>
          <w:smallCaps w:val="false"/>
          <w:sz w:val="20"/>
        </w:rPr>
        <w:t>. Each Holder and Beneficial Owner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rPr>
        <w:t>Disclosure of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Holders and Beneficial Owners agree to comply with all such disclosure requirements and ownership limitations and to comply with any reasonable Company instructions in respect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Jurisdiction Specific</w:t>
      </w:r>
      <w:r>
        <w:rPr>
          <w:rFonts w:ascii="Times New Roman;Times;Serif" w:hAnsi="Times New Roman;Times;Serif"/>
          <w:b w:val="false"/>
          <w:i w:val="false"/>
          <w:caps w:val="false"/>
          <w:smallCaps w:val="false"/>
          <w:sz w:val="20"/>
        </w:rPr>
        <w:t>. Any summary of the laws and regulations of the Cayman Islands and of the terms of the Company's constituent documents has been provided by the Company solely for the convenience of Holders, Beneficial Owners and the Depositary. While such summaries are believed by the Company to be accurate as of the date of the Deposit Agreement, they are (i) summaries and as such may not include all aspects of the materials summarized as applicable to a Holder or Beneficial Owner, and (ii) provided by the Company as of the date of the Deposit Agreement. The Holder or Beneficial Owner acknowledges that these laws and regulations and the Company's constituent documents may change after the date of the Deposit Agreement. Neither the Depositary nor the Company has any obligation to update any such summaries.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A-6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rPr>
        <w:t>Charges of Depositary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Rights of the Depositary</w:t>
      </w:r>
      <w:r>
        <w:rPr>
          <w:rFonts w:ascii="Times New Roman;Times;Serif" w:hAnsi="Times New Roman;Times;Serif"/>
          <w:b w:val="false"/>
          <w:i w:val="false"/>
          <w:caps w:val="false"/>
          <w:smallCaps w:val="false"/>
          <w:sz w:val="20"/>
        </w:rPr>
        <w:t>. The Depositary may charge, and collect from, (i) each person to whom ADSs are issued, including, without limitation, issuances against deposits of Shares, issuances in respect of Share Distributions, Rights and Other Distributions (as such terms are defined in paragraph (10) (</w:t>
      </w:r>
      <w:r>
        <w:rPr>
          <w:rFonts w:ascii="Times New Roman;Times;Serif" w:hAnsi="Times New Roman;Times;Serif"/>
          <w:b w:val="false"/>
          <w:i/>
          <w:caps w:val="false"/>
          <w:smallCaps w:val="false"/>
          <w:sz w:val="20"/>
        </w:rPr>
        <w:t>Distributions on Deposited Securities</w:t>
      </w:r>
      <w:r>
        <w:rPr>
          <w:rFonts w:ascii="Times New Roman;Times;Serif" w:hAnsi="Times New Roman;Times;Serif"/>
          <w:b w:val="false"/>
          <w:i w:val="false"/>
          <w:caps w:val="false"/>
          <w:smallCaps w:val="false"/>
          <w:sz w:val="20"/>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a fee of up to U.S.$5.00 for each 100 ADSs (or portion thereof) issued, delivered, reduced, cancelled or surrendered, or upon which a Share Distribution or elective distribution is made or offered (as the case may be). The Depositary may sell (by public or private sale) sufficient securities and property received in respect of Share Distributions, Rights and Other Distributions prior to such deposit to pay such 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Additional Fees, Charges and Expenses by the Depositary</w:t>
      </w:r>
      <w:r>
        <w:rPr>
          <w:rFonts w:ascii="Times New Roman;Times;Serif" w:hAnsi="Times New Roman;Times;Serif"/>
          <w:b w:val="false"/>
          <w:i w:val="false"/>
          <w:caps w:val="false"/>
          <w:smallCaps w:val="false"/>
          <w:sz w:val="20"/>
        </w:rPr>
        <w:t>. The following additional fees, charges and expenses shall also be incurred by the Holders, the Beneficial Owners, by any party depositing or withdrawing 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Times New Roman;Times;Serif" w:hAnsi="Times New Roman;Times;Serif"/>
          <w:b w:val="false"/>
          <w:i/>
          <w:caps w:val="false"/>
          <w:smallCaps w:val="false"/>
          <w:sz w:val="20"/>
        </w:rPr>
        <w:t>Distributions on Deposited Securities</w:t>
      </w:r>
      <w:r>
        <w:rPr>
          <w:rFonts w:ascii="Times New Roman;Times;Serif" w:hAnsi="Times New Roman;Times;Serif"/>
          <w:b w:val="false"/>
          <w:i w:val="false"/>
          <w:caps w:val="false"/>
          <w:smallCaps w:val="false"/>
          <w:sz w:val="20"/>
        </w:rPr>
        <w:t>)), whichever is applicable: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63" w:type="dxa"/>
            <w:tcBorders/>
            <w:vAlign w:val="center"/>
          </w:tcPr>
          <w:p>
            <w:pPr>
              <w:pStyle w:val="TableContents"/>
              <w:bidi w:val="0"/>
              <w:spacing w:before="0" w:after="283"/>
              <w:jc w:val="left"/>
              <w:rPr/>
            </w:pPr>
            <w:r>
              <w:rPr/>
              <w:t>a fee of up to U.S.$0.05 per ADS held for any Cash distribution made, or for any elective cash/stock dividend offered, pursuant to the Deposit Agreement,</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left"/>
              <w:rPr/>
            </w:pPr>
            <w:r>
              <w:rPr/>
              <w:t>a fee of up to U.S.$0.05 per ADS held for the direct or indirect distribution of securities (other than ADSs or rights to purchase additional ADSs pursuant to paragraph (10) hereof) or the net cash proceeds from the public or private sale of any such securities, regardless of whether any such distribution and/or sale is made by, for, or received from, or (in each case) on behalf of, the Depositary, the Company and/or any third party (which fee may be assessed against Holders as of a record date set by the Depositary),</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79" w:type="dxa"/>
            <w:tcBorders/>
            <w:vAlign w:val="center"/>
          </w:tcPr>
          <w:p>
            <w:pPr>
              <w:pStyle w:val="TableContents"/>
              <w:bidi w:val="0"/>
              <w:spacing w:before="0" w:after="283"/>
              <w:jc w:val="left"/>
              <w:rPr/>
            </w:pPr>
            <w:r>
              <w:rPr/>
              <w:t>an aggregate fee of up to U.S.$0.05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1"/>
        <w:gridCol w:w="9886"/>
      </w:tblGrid>
      <w:tr>
        <w:trPr/>
        <w:tc>
          <w:tcPr>
            <w:tcW w:w="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(iv)</w:t>
            </w:r>
          </w:p>
        </w:tc>
        <w:tc>
          <w:tcPr>
            <w:tcW w:w="9886" w:type="dxa"/>
            <w:tcBorders/>
            <w:vAlign w:val="center"/>
          </w:tcPr>
          <w:p>
            <w:pPr>
              <w:pStyle w:val="TableContents"/>
              <w:bidi w:val="0"/>
              <w:spacing w:before="0" w:after="283"/>
              <w:jc w:val="left"/>
              <w:rPr/>
            </w:pPr>
            <w:r>
              <w:rPr/>
              <w:t>an amount for the reimbursement of such charges and expenses as are incurred by the Depositary and/or any of its agents (including, without limitation, the Custodian, as well as charges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charges and expenses may be assessed on a proportionate basis against Holders as of the record date or dates set by the Depositary and shall be payable at the sole discretion of the Depositary by billing such Holders or by deducting such charge or expense from one or more cash dividends or other cash distributions).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Other Obligations, Fees, Charges and Expenses</w:t>
      </w:r>
      <w:r>
        <w:rPr>
          <w:rFonts w:ascii="Times New Roman;Times;Serif" w:hAnsi="Times New Roman;Times;Serif"/>
          <w:b w:val="false"/>
          <w:i w:val="false"/>
          <w:caps w:val="false"/>
          <w:smallCaps w:val="false"/>
          <w:sz w:val="20"/>
        </w:rPr>
        <w:t>. The Company will pay all other fees, charges and expenses of the Depositary and any agent of the Depositary (except the Custodian) pursuant to agreements from time to time between the Company and the Depositary, except: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(i)</w:t>
            </w:r>
          </w:p>
        </w:tc>
        <w:tc>
          <w:tcPr>
            <w:tcW w:w="9949" w:type="dxa"/>
            <w:tcBorders/>
            <w:vAlign w:val="center"/>
          </w:tcPr>
          <w:p>
            <w:pPr>
              <w:pStyle w:val="TableContents"/>
              <w:bidi w:val="0"/>
              <w:spacing w:before="0" w:after="283"/>
              <w:jc w:val="left"/>
              <w:rPr/>
            </w:pPr>
            <w:r>
              <w:rPr/>
              <w:t>stock transfer or other taxes and other governmental charges (which are payable by Holders or persons depositing Shares);</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5" w:type="dxa"/>
            <w:tcBorders/>
            <w:vAlign w:val="center"/>
          </w:tcPr>
          <w:p>
            <w:pPr>
              <w:pStyle w:val="TableContents"/>
              <w:bidi w:val="0"/>
              <w:spacing w:before="0" w:after="283"/>
              <w:jc w:val="left"/>
              <w:rPr/>
            </w:pPr>
            <w:r>
              <w:rPr/>
              <w:t xml:space="preserve">a transaction fee per cancellation request (including any cancellation request made through SWIFT, facsimile transmission or any other method of communication) as disclosed on the "Disclosures" page (or successor page) of </w:t>
            </w:r>
            <w:r>
              <w:rPr>
                <w:u w:val="single"/>
              </w:rPr>
              <w:t>www.adr.com</w:t>
            </w:r>
            <w:r>
              <w:rPr/>
              <w:t xml:space="preserve"> (as updated by the Depositary from time to time, "</w:t>
            </w:r>
            <w:r>
              <w:rPr>
                <w:b/>
              </w:rPr>
              <w:t>ADR.com</w:t>
            </w:r>
            <w:r>
              <w:rPr/>
              <w:t>") and any applicable delivery expenses (which are payable by such persons or Holders); and</w:t>
            </w:r>
          </w:p>
        </w:tc>
      </w:tr>
    </w:tbl>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(iii)</w:t>
            </w:r>
          </w:p>
        </w:tc>
        <w:tc>
          <w:tcPr>
            <w:tcW w:w="9867" w:type="dxa"/>
            <w:tcBorders/>
            <w:vAlign w:val="center"/>
          </w:tcPr>
          <w:p>
            <w:pPr>
              <w:pStyle w:val="TableContents"/>
              <w:bidi w:val="0"/>
              <w:spacing w:before="0" w:after="283"/>
              <w:jc w:val="left"/>
              <w:rPr/>
            </w:pPr>
            <w:r>
              <w:rPr/>
              <w:t>transfer or registration expenses for the registration or transfer of Deposited Securities on any applicable register in connection with the deposit or withdrawal of Deposited Securities (which are payable by persons depositing Shares or Holders withdrawing Deposited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Foreign Exchange Related Matters</w:t>
      </w:r>
      <w:r>
        <w:rPr>
          <w:rFonts w:ascii="Times New Roman;Times;Serif" w:hAnsi="Times New Roman;Times;Serif"/>
          <w:b w:val="false"/>
          <w:i w:val="false"/>
          <w:caps w:val="false"/>
          <w:smallCaps w:val="false"/>
          <w:sz w:val="20"/>
        </w:rPr>
        <w:t>. To facilitate the administration of various depositary receipt transactions, including disbursement of dividends or other cash distributions and other corporate actions, the Depositary may engage the foreign exchange desk within JPMorgan Chase Bank, N.A. (the "</w:t>
      </w:r>
      <w:r>
        <w:rPr>
          <w:rFonts w:ascii="Times New Roman;Times;Serif" w:hAnsi="Times New Roman;Times;Serif"/>
          <w:b/>
          <w:i w:val="false"/>
          <w:caps w:val="false"/>
          <w:smallCaps w:val="false"/>
          <w:sz w:val="20"/>
        </w:rPr>
        <w:t>Bank</w:t>
      </w:r>
      <w:r>
        <w:rPr>
          <w:rFonts w:ascii="Times New Roman;Times;Serif" w:hAnsi="Times New Roman;Times;Serif"/>
          <w:b w:val="false"/>
          <w:i w:val="false"/>
          <w:caps w:val="false"/>
          <w:smallCaps w:val="false"/>
          <w:sz w:val="20"/>
        </w:rPr>
        <w:t>") and/or its affiliates in order to enter into spot foreign exchange transactions to convert foreign currency into U.S. dollars ("</w:t>
      </w:r>
      <w:r>
        <w:rPr>
          <w:rFonts w:ascii="Times New Roman;Times;Serif" w:hAnsi="Times New Roman;Times;Serif"/>
          <w:b/>
          <w:i w:val="false"/>
          <w:caps w:val="false"/>
          <w:smallCaps w:val="false"/>
          <w:sz w:val="20"/>
        </w:rPr>
        <w:t>FX Transactions</w:t>
      </w:r>
      <w:r>
        <w:rPr>
          <w:rFonts w:ascii="Times New Roman;Times;Serif" w:hAnsi="Times New Roman;Times;Serif"/>
          <w:b w:val="false"/>
          <w:i w:val="false"/>
          <w:caps w:val="false"/>
          <w:smallCaps w:val="false"/>
          <w:sz w:val="20"/>
        </w:rPr>
        <w:t>"). For certain currencies, FX Transactions are entered into with the Bank or an affiliate, as the case may be, acting in a principal capacity. For other currencies, FX Transactions are routed directly to and managed by an unaffiliated local custodian (or other third-party local liquidity provider), and neither the Bank nor any of its affiliates is a party to such FX Transactions.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A-8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exchange rate applied to an FX Transaction will be either (i) a published benchmark rate, or (ii) a rate determined by a third-party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FX Transaction. Additionally, the timing of execution of an FX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Company, the Depositary, Holders or Beneficial Owners. The spread applied does not reflect any gains or losses that may be earned or incurred by the Bank and its affiliates as a result of risk management or other hedging related activity.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 the extent the Company provides U.S. dollars to the Depositary, neither the Bank nor any of its affiliates will execute an FX Transaction as set forth herein. In such case, the Depositary will distribute the U.S. dollars received from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relating to the applicable foreign exchange rate, the applicable spread and the execution of FX Transactions will be provided by the Depositary on ADR.com. The Company, Holders and Beneficial Owners each acknowledge and agree that the terms applicable to FX Transactions disclosed from time to time on ADR.com will apply to any FX Transaction executed pursuant to the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 of the Depositary to charge and receive payment of fees, charges and expenses as provided above shall survive the termination of the Deposit Agreement. Upon the resignation or removal of the Depositary, such right shall extend for those fees, charges and expenses incurred prior to the effectiveness of such resignation or removal.</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Disclosure of Potential Depositary Payments</w:t>
      </w:r>
      <w:r>
        <w:rPr>
          <w:rFonts w:ascii="Times New Roman;Times;Serif" w:hAnsi="Times New Roman;Times;Serif"/>
          <w:b w:val="false"/>
          <w:i w:val="false"/>
          <w:caps w:val="false"/>
          <w:smallCaps w:val="false"/>
          <w:sz w:val="20"/>
        </w:rPr>
        <w:t>. The Depositary anticipates reimbursing the Company for certain expenses incurred by the 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A-9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Under certain limited circumstances the Depositary may reduce or waive certain fees, charges and expenses provided herein and in the Deposit Agreement, including, without limitation, those described in this paragraph (7) that would normally be charged on ADSs issued to or at the direction of, or otherwise held by, the Company and/ or certain Holders and Beneficial Owners and holders and beneficial owners of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rPr>
        <w:t>Available Information</w:t>
      </w:r>
      <w:r>
        <w:rPr>
          <w:rFonts w:ascii="Times New Roman;Times;Serif" w:hAnsi="Times New Roman;Times;Serif"/>
          <w:b w:val="false"/>
          <w:i w:val="false"/>
          <w:caps w:val="false"/>
          <w:smallCaps w:val="false"/>
          <w:sz w:val="20"/>
        </w:rPr>
        <w:t>. The Deposit Agreement, the provisions of or governing Deposited Securities and any written communications from the Company, which are both received by the Custodian or its nominee as a holder of Deposited Securities and made generally available to the holders of Deposited Securities, are available for inspection by Holders at the offices of the Depositary in the United States, on the Commission's Internet Website or upon request to the Depositary (which request may be refused by the Depositary at its discretion). The Depositary will distribute copies of such communications (or English translations or summaries thereof) to Holders when furnished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the periodic reporting requirements of the Securities Exchange Act of 1934 and accordingly files certain reports with the Commission. These reports can be inspected and retrieved by Holders and Beneficial Owners through the EDGAR system on the Commission's Internet Website located as of the date of the Deposit Agreement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can be inspected and copied at the public reference facilities maintained by the Commission, located (as of the date of the Deposit Agreement) at 100 F Street, N.E., Washington, D.C. 20549. Each Holder and Beneficial Owner of an ADR and/or interest therein by so holding or owning an ADR and/or an interest therein, acknowledges and agrees that the Depositary (i) is relying, and may so rely, solely on the Company's representations, warranties and agreements in Section 13(a) of the Deposit Agreement and this paragraph (8) of the form of ADR (</w:t>
      </w:r>
      <w:r>
        <w:rPr>
          <w:rFonts w:ascii="Times New Roman;Times;Serif" w:hAnsi="Times New Roman;Times;Serif"/>
          <w:b w:val="false"/>
          <w:i/>
          <w:caps w:val="false"/>
          <w:smallCaps w:val="false"/>
          <w:sz w:val="20"/>
        </w:rPr>
        <w:t>Available Information</w:t>
      </w:r>
      <w:r>
        <w:rPr>
          <w:rFonts w:ascii="Times New Roman;Times;Serif" w:hAnsi="Times New Roman;Times;Serif"/>
          <w:b w:val="false"/>
          <w:i w:val="false"/>
          <w:caps w:val="false"/>
          <w:smallCaps w:val="false"/>
          <w:sz w:val="20"/>
        </w:rPr>
        <w:t>), (ii) does not assume any duty or responsibility to determine if the Company is in compliance with the registration, reporting and other requirements of the Securities Exchange Act of 1934, and (iii) may, and is expressly authorized by each Holder and Beneficial Owner of an ADR and/or an interest therein to, represent, warrant and certify that, based on such representations, warranties and agreements of the Company, the Company is in compliance with the registration, reporting and other requirements of the Securities Exchange Act of 1934.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rPr>
        <w:t>Execution</w:t>
      </w:r>
      <w:r>
        <w:rPr>
          <w:rFonts w:ascii="Times New Roman;Times;Serif" w:hAnsi="Times New Roman;Times;Serif"/>
          <w:b w:val="false"/>
          <w:i w:val="false"/>
          <w:caps w:val="false"/>
          <w:smallCaps w:val="false"/>
          <w:sz w:val="20"/>
        </w:rPr>
        <w:t>. This ADR shall not be valid for any purpose unless executed by the Depositary by the manual or facsimile signature of a duly authorized officer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074" w:type="dxa"/>
        <w:jc w:val="left"/>
        <w:tblInd w:w="0" w:type="dxa"/>
        <w:tblLayout w:type="fixed"/>
        <w:tblCellMar>
          <w:top w:w="0" w:type="dxa"/>
          <w:left w:w="0" w:type="dxa"/>
          <w:bottom w:w="0" w:type="dxa"/>
          <w:right w:w="0" w:type="dxa"/>
        </w:tblCellMar>
      </w:tblPr>
      <w:tblGrid>
        <w:gridCol w:w="75"/>
        <w:gridCol w:w="4011"/>
        <w:gridCol w:w="988"/>
      </w:tblGrid>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JPMORGAN CHASE BANK, N.A., as Depositary</w:t>
            </w:r>
          </w:p>
        </w:tc>
      </w:tr>
      <w:tr>
        <w:trPr/>
        <w:tc>
          <w:tcPr>
            <w:tcW w:w="75" w:type="dxa"/>
            <w:tcBorders/>
            <w:vAlign w:val="center"/>
          </w:tcPr>
          <w:p>
            <w:pPr>
              <w:pStyle w:val="TableContents"/>
              <w:bidi w:val="0"/>
              <w:spacing w:before="0" w:after="283"/>
              <w:jc w:val="left"/>
              <w:rPr/>
            </w:pPr>
            <w:r>
              <w:rPr/>
              <w:t> </w:t>
            </w:r>
          </w:p>
        </w:tc>
        <w:tc>
          <w:tcPr>
            <w:tcW w:w="4011"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1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98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Depositary's office is located at 270 Park Avenue, Floor 8, New York, New York 10017.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A-11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ADR]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i w:val="false"/>
          <w:caps w:val="false"/>
          <w:smallCaps w:val="false"/>
          <w:sz w:val="20"/>
        </w:rPr>
        <w:t>Distributions on Deposited Securities; Sales</w:t>
      </w:r>
      <w:r>
        <w:rPr>
          <w:rFonts w:ascii="Times New Roman;Times;Serif" w:hAnsi="Times New Roman;Times;Serif"/>
          <w:b w:val="false"/>
          <w:i w:val="false"/>
          <w:caps w:val="false"/>
          <w:smallCaps w:val="false"/>
          <w:sz w:val="20"/>
        </w:rPr>
        <w:t>. Subject to paragraphs (4) (</w:t>
      </w:r>
      <w:r>
        <w:rPr>
          <w:rFonts w:ascii="Times New Roman;Times;Serif" w:hAnsi="Times New Roman;Times;Serif"/>
          <w:b w:val="false"/>
          <w:i/>
          <w:caps w:val="false"/>
          <w:smallCaps w:val="false"/>
          <w:sz w:val="20"/>
        </w:rPr>
        <w:t>Certain Limitations to Registration, Transfer etc.</w:t>
      </w:r>
      <w:r>
        <w:rPr>
          <w:rFonts w:ascii="Times New Roman;Times;Serif" w:hAnsi="Times New Roman;Times;Serif"/>
          <w:b w:val="false"/>
          <w:i w:val="false"/>
          <w:caps w:val="false"/>
          <w:smallCaps w:val="false"/>
          <w:sz w:val="20"/>
        </w:rPr>
        <w:t>) and (5) (</w:t>
      </w:r>
      <w:r>
        <w:rPr>
          <w:rFonts w:ascii="Times New Roman;Times;Serif" w:hAnsi="Times New Roman;Times;Serif"/>
          <w:b w:val="false"/>
          <w:i/>
          <w:caps w:val="false"/>
          <w:smallCaps w:val="false"/>
          <w:sz w:val="20"/>
        </w:rPr>
        <w:t>Liability of Holder or Beneficial Owner for Taxes, Duties and other Charges</w:t>
      </w:r>
      <w:r>
        <w:rPr>
          <w:rFonts w:ascii="Times New Roman;Times;Serif" w:hAnsi="Times New Roman;Times;Serif"/>
          <w:b w:val="false"/>
          <w:i w:val="false"/>
          <w:caps w:val="false"/>
          <w:smallCaps w:val="false"/>
          <w:sz w:val="20"/>
        </w:rPr>
        <w:t>), to the extent practicable, the Depositary will distribute to each Holder entitled thereto on the record date set by the 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Cash</w:t>
      </w:r>
      <w:r>
        <w:rPr>
          <w:rFonts w:ascii="Times New Roman;Times;Serif" w:hAnsi="Times New Roman;Times;Serif"/>
          <w:b w:val="false"/>
          <w:i w:val="false"/>
          <w:caps w:val="false"/>
          <w:smallCaps w:val="false"/>
          <w:sz w:val="20"/>
        </w:rPr>
        <w:t>. Any U.S. dollars available to the Depositary resulting from a cash dividend or other cash distribution or the net proceeds of sales of any other distribution or portion thereof authorized in this paragraph (10) ("</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on an averaged or other practicable basis, subject to (i) appropriate adjustments for taxes withheld, (ii) such distribution being permissible or 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of the Deposited Securities is not or shall not be entitled, by reason of its date of issuance, or otherwise, to receive the full amount of such cash dividend, distribution, or net proceeds of sales, the Depositary shall make appropriate adjustments in the amounts distributed to the Holders issued in respect of such Deposited Securities. To the extent the Company or the Depositary shall be required to withhold and does withhold from any cash dividend, distribution or net proceeds from sales in respect of any Deposited Securities an amount on account of taxes, the amount distributed on the ADSs issued in respect of such Deposited Securities shall be reduced accordingly.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Depositary determines in its discretion that it would not be permitted by applicable law, rule or regulation, or it would not otherwise be practicable, to convert foreign currency into U.S. dollars and/or distribute such U.S. dollars to any or all of the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Holders entitled to receive the same.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A-12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(i) Additional ADRs evidencing whole ADSs representing any Shares available to the Depositary resulting from a dividend or free distribution on Deposited Securities consisting of Shares (a "</w:t>
      </w:r>
      <w:r>
        <w:rPr>
          <w:rFonts w:ascii="Times New Roman;Times;Serif" w:hAnsi="Times New Roman;Times;Serif"/>
          <w:b/>
          <w:i w:val="false"/>
          <w:caps w:val="false"/>
          <w:smallCaps w:val="false"/>
          <w:sz w:val="20"/>
        </w:rPr>
        <w:t>Share Distribution</w:t>
      </w:r>
      <w:r>
        <w:rPr>
          <w:rFonts w:ascii="Times New Roman;Times;Serif" w:hAnsi="Times New Roman;Times;Serif"/>
          <w:b w:val="false"/>
          <w:i w:val="false"/>
          <w:caps w:val="false"/>
          <w:smallCaps w:val="false"/>
          <w:sz w:val="20"/>
        </w:rPr>
        <w:t>") and (ii) U.S. dollars available to it resulting from the net proceeds of public or private sales of Shares received in a Share Distribution, which Shares would give rise to fractional ADSs if additional ADRs were issued therefor, as in the case of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Rights</w:t>
      </w:r>
      <w:r>
        <w:rPr>
          <w:rFonts w:ascii="Times New Roman;Times;Serif" w:hAnsi="Times New Roman;Times;Serif"/>
          <w:b w:val="false"/>
          <w:i w:val="false"/>
          <w:caps w:val="false"/>
          <w:smallCaps w:val="false"/>
          <w:sz w:val="20"/>
        </w:rPr>
        <w:t>. (i) Warrants or other instruments in the discretion of the Depositary representing rights to acquire additional ADRs in respect of any rights to subscribe for additional Shares or rights of any nature available to the Depositary as a result of a distribution on Deposited Securities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the public or private sales of Rights as in the case of Cash, or (iii) to the extent the Company does not so furnish such evidence and/or such sales cannot practicably be accomplished by reason of the non-transferability of the Rights, limited markets therefor, their short duration or otherwise, nothing (and any Rights may lapse).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Other Distributions</w:t>
      </w:r>
      <w:r>
        <w:rPr>
          <w:rFonts w:ascii="Times New Roman;Times;Serif" w:hAnsi="Times New Roman;Times;Serif"/>
          <w:b w:val="false"/>
          <w:i w:val="false"/>
          <w:caps w:val="false"/>
          <w:smallCaps w:val="false"/>
          <w:sz w:val="20"/>
        </w:rPr>
        <w:t>. (i) Securities or property available to the Depositary resulting from any distribution on Deposited Securities other than Cash, Share Distributions and Rights ("</w:t>
      </w:r>
      <w:r>
        <w:rPr>
          <w:rFonts w:ascii="Times New Roman;Times;Serif" w:hAnsi="Times New Roman;Times;Serif"/>
          <w:b/>
          <w:i w:val="false"/>
          <w:caps w:val="false"/>
          <w:smallCaps w:val="false"/>
          <w:sz w:val="20"/>
        </w:rPr>
        <w:t>Other Distributions</w:t>
      </w:r>
      <w:r>
        <w:rPr>
          <w:rFonts w:ascii="Times New Roman;Times;Serif" w:hAnsi="Times New Roman;Times;Serif"/>
          <w:b w:val="false"/>
          <w:i w:val="false"/>
          <w:caps w:val="false"/>
          <w:smallCaps w:val="false"/>
          <w:sz w:val="20"/>
        </w:rPr>
        <w:t>"), by any means that the Depositary may deem equitable and practicable, or (ii) to the extent the Depositary deems distribution of such securities or property not to be equitable and practicable, any U.S. dollars available to the Depositary from the net proceeds of public or private sales of Other Distributions as in the case of Cash.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the Depositary determines in its discretion that any distribution pursuant to this paragraph (10) (</w:t>
      </w:r>
      <w:r>
        <w:rPr>
          <w:rFonts w:ascii="Times New Roman;Times;Serif" w:hAnsi="Times New Roman;Times;Serif"/>
          <w:b w:val="false"/>
          <w:i/>
          <w:caps w:val="false"/>
          <w:smallCaps w:val="false"/>
          <w:sz w:val="20"/>
        </w:rPr>
        <w:t>Distributions on Deposited Securities</w:t>
      </w:r>
      <w:r>
        <w:rPr>
          <w:rFonts w:ascii="Times New Roman;Times;Serif" w:hAnsi="Times New Roman;Times;Serif"/>
          <w:b w:val="false"/>
          <w:i w:val="false"/>
          <w:caps w:val="false"/>
          <w:smallCaps w:val="false"/>
          <w:sz w:val="20"/>
        </w:rPr>
        <w:t>) would not be permissible by applicable law, rule or regulation, or is not otherwise practicable with respect to any or all Holders, the Depositary may in its discretion make such distribution as it so deems permissible and practicable, including the distribution of some or all of any Cash, foreign currency, securities or other property (or appropriate documents evidencing the right to receive some or all of any such Cash, foreign currency, securities or other property), and/or the Depositary may retain and hold some or all of such Cash, foreign currency, securities or other property as Deposited Securities with respect to the applicable Holders' ADRs (without liability for interest thereon or the investment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the Depositary retains and holds any Cash, foreign currency, securities or other property as permitted under this paragraph (10) (</w:t>
      </w:r>
      <w:r>
        <w:rPr>
          <w:rFonts w:ascii="Times New Roman;Times;Serif" w:hAnsi="Times New Roman;Times;Serif"/>
          <w:b w:val="false"/>
          <w:i/>
          <w:caps w:val="false"/>
          <w:smallCaps w:val="false"/>
          <w:sz w:val="20"/>
        </w:rPr>
        <w:t>Distributions on Deposited Securities</w:t>
      </w:r>
      <w:r>
        <w:rPr>
          <w:rFonts w:ascii="Times New Roman;Times;Serif" w:hAnsi="Times New Roman;Times;Serif"/>
          <w:b w:val="false"/>
          <w:i w:val="false"/>
          <w:caps w:val="false"/>
          <w:smallCaps w:val="false"/>
          <w:sz w:val="20"/>
        </w:rPr>
        <w:t>), any and all fees, charges and expenses related to, or arising from, the holding thereof (including, but not limited to those provided in paragraph (7) of this form of ADR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shall be paid from such Cash, foreign currency, securities or other property, or the net proceeds from the sale thereof, thereby reducing the amount so held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A-13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Sales</w:t>
      </w:r>
      <w:r>
        <w:rPr>
          <w:rFonts w:ascii="Times New Roman;Times;Serif" w:hAnsi="Times New Roman;Times;Serif"/>
          <w:b w:val="false"/>
          <w:i w:val="false"/>
          <w:caps w:val="false"/>
          <w:smallCaps w:val="false"/>
          <w:sz w:val="20"/>
        </w:rPr>
        <w:t>. In all instances where the Deposit Agreement or the form of ADR refers to a "sale" (or words of similar import) of securities or property, the Depositary may, but shall not be obligated, to effect any such sale unless the securities to be sold are listed and publicly traded on a securities exchange or there is a public market for the property to be sold. To the extent the securities are not so listed and publicly traded or there is no public market for the property so distributed by the Company:</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(i)</w:t>
            </w:r>
          </w:p>
        </w:tc>
        <w:tc>
          <w:tcPr>
            <w:tcW w:w="9992" w:type="dxa"/>
            <w:tcBorders/>
            <w:vAlign w:val="center"/>
          </w:tcPr>
          <w:p>
            <w:pPr>
              <w:pStyle w:val="TableContents"/>
              <w:bidi w:val="0"/>
              <w:spacing w:before="0" w:after="283"/>
              <w:jc w:val="left"/>
              <w:rPr/>
            </w:pPr>
            <w:r>
              <w:rPr/>
              <w:t>the Depositary shall, in the event the Deposit Agreement is terminated and the Depositary holds Deposited Securities that are not listed and publicly traded or property for which there is no public market after the Termination Date, act in accordance with paragraph (17)(b) of the form of ADR in respect of such securities and property; and</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left"/>
              <w:rPr/>
            </w:pPr>
            <w:r>
              <w:rPr/>
              <w:t>in the event the Depositary or its Custodian receives (A) an Other Distribution under paragraph (10) consisting of securities or property that are not distributed by the Depositary pursuant to this paragraph (10) or (B) a distribution of Rights that falls under subparagraph (10)(c)(iii) above, the Depositary will not terminate the Deposit Agreement under paragraph (17)(a)(ii)(D) of the form of ADR but, in lieu of termination, the Depositary will, in the case of an Other Distribution, be deemed to have sold the aggregate number of securities and/or property so received for nominal value and shall have no obligation to distribute such securities or any proceeds from the deemed sale thereof to the Holders and, in the case of Rights that fall under subparagraph (10)(c)(iii) above, allow such Rights to lapse.</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the event the Depositary endeavors to make a sale of Shares, other securities or property, such securities and/or property may be sold in a block sale or single lot transaction.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reserves the right to utilize a division, branch or affiliate of JPMorgan Chase Bank, N.A. to direct, manage and/or execute any public and/or private sale of securities and/or property hereunder. Such division, branch and/or affiliate may charge the Depositary a fee in connection with such sales, which fee is considered an expense of the Depositary contemplated above and/or under paragraph (7)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All purchases and sales of securities will be handled by the Depositary in accordance with its then current policies, which are currently set forth on the "Disclosures" page (or successor page) of ADR.com, the location and contents of which the Depositary shall be solely responsible for.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U.S. dollars available will be paid via wire transfer and/or distributed by checks drawn on a bank in the United States for whole dollars and cents. Fractional cents will be withheld without liability and dealt with by the Depositary in accordance with its then current practices.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Record Dates</w:t>
      </w:r>
      <w:r>
        <w:rPr>
          <w:rFonts w:ascii="Times New Roman;Times;Serif" w:hAnsi="Times New Roman;Times;Serif"/>
          <w:b w:val="false"/>
          <w:i w:val="false"/>
          <w:caps w:val="false"/>
          <w:smallCaps w:val="false"/>
          <w:sz w:val="20"/>
        </w:rPr>
        <w:t>. The Depositary may, after consultation with the Company if practicable, fix a record date (which, to the extent applicable, shall 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i w:val="false"/>
          <w:caps w:val="false"/>
          <w:smallCaps w:val="false"/>
          <w:sz w:val="20"/>
        </w:rPr>
        <w:t>Voting of Deposited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Notice of Any Meeting or Solicitation</w:t>
      </w:r>
      <w:r>
        <w:rPr>
          <w:rFonts w:ascii="Times New Roman;Times;Serif" w:hAnsi="Times New Roman;Times;Serif"/>
          <w:b w:val="false"/>
          <w:i w:val="false"/>
          <w:caps w:val="false"/>
          <w:smallCaps w:val="false"/>
          <w:sz w:val="20"/>
        </w:rPr>
        <w:t>. As soon as practicable after receipt of notice of any meeting at which the holders of Shares are entitled to vote, or of solicitation of consents or proxies from holders of Shares or other Deposited Securities, the Depositary shall fix the ADS record date in accordance with paragraph (11) above provided that if the Depositary receives a written request from the Company in a timely manner and at least thirty (30) days prior to the date of such vote or meeting, the Depositary shall, at the Company's expense, distribute to Holders a notice (the "</w:t>
      </w:r>
      <w:r>
        <w:rPr>
          <w:rFonts w:ascii="Times New Roman;Times;Serif" w:hAnsi="Times New Roman;Times;Serif"/>
          <w:b/>
          <w:i w:val="false"/>
          <w:caps w:val="false"/>
          <w:smallCaps w:val="false"/>
          <w:sz w:val="20"/>
        </w:rPr>
        <w:t>Voting Notice</w:t>
      </w:r>
      <w:r>
        <w:rPr>
          <w:rFonts w:ascii="Times New Roman;Times;Serif" w:hAnsi="Times New Roman;Times;Serif"/>
          <w:b w:val="false"/>
          <w:i w:val="false"/>
          <w:caps w:val="false"/>
          <w:smallCaps w:val="false"/>
          <w:sz w:val="20"/>
        </w:rPr>
        <w:t>") stating (i) final information particular to such vote and meeting and any solicitation materials, (ii) that each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Holder's ADRs and (iii) the manner in which such instructions may be given or deemed given in accordance with paragraph 12(b)(ii) below, including instructions to give a discretionary proxy to a person designated by the Company. Each Holder shall be solely responsible for the forwarding of Voting Notices to the Beneficial Owners of ADSs registered in such Holder's name. There is no guarantee that Holders and Beneficial Owners generally or any Holder or Beneficial Owner in particular will receive the notice described above with sufficient time to enable such Holder or Beneficial Owner to return any voting instructions to the Depositary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Voting of Deposited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(i)</w:t>
            </w:r>
          </w:p>
        </w:tc>
        <w:tc>
          <w:tcPr>
            <w:tcW w:w="10003" w:type="dxa"/>
            <w:tcBorders/>
            <w:vAlign w:val="center"/>
          </w:tcPr>
          <w:p>
            <w:pPr>
              <w:pStyle w:val="TableContents"/>
              <w:bidi w:val="0"/>
              <w:spacing w:before="0" w:after="283"/>
              <w:jc w:val="left"/>
              <w:rPr/>
            </w:pPr>
            <w:r>
              <w:rPr/>
              <w:t>Following actual receipt by the ADR department responsible for proxies and voting of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Holders' ADRs in accordance with such instructions insofar as practicable and permitted under the provisions of or governing Deposited Securities. The Depositary will not itself exercise any voting discretion in respect of any Deposited Securities.</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center"/>
        <w:rPr>
          <w:bdr w:val="single" w:sz="8" w:space="1" w:color="000000"/>
        </w:rPr>
      </w:pPr>
      <w:r>
        <w:rPr>
          <w:bdr w:val="single" w:sz="8" w:space="1" w:color="000000"/>
        </w:rPr>
        <w:t>A-15 </w:t>
      </w:r>
    </w:p>
    <w:p>
      <w:pPr>
        <w:pStyle w:val="TextBody"/>
        <w:bidi w:val="0"/>
        <w:spacing w:before="0" w:after="0"/>
        <w:jc w:val="center"/>
        <w:rPr/>
      </w:pPr>
      <w:r>
        <w:rPr/>
        <w:t> </w:t>
      </w:r>
    </w:p>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(ii)</w:t>
            </w:r>
          </w:p>
        </w:tc>
        <w:tc>
          <w:tcPr>
            <w:tcW w:w="9950" w:type="dxa"/>
            <w:tcBorders/>
            <w:vAlign w:val="center"/>
          </w:tcPr>
          <w:p>
            <w:pPr>
              <w:pStyle w:val="TableContents"/>
              <w:bidi w:val="0"/>
              <w:spacing w:before="0" w:after="283"/>
              <w:jc w:val="left"/>
              <w:rPr/>
            </w:pPr>
            <w:r>
              <w:rPr/>
              <w:t xml:space="preserve">To the extent that (A) the Depositary has been provided with at least thirty-five (35) days' notice of the proposed meeting from the Company, (B) the Voting Notice will be received by all Holders and Beneficial Owners no less than ten (10) days prior to the date of the meeting and/or the cut-off date for the solicitation of consents, and (C) the Depositary does not receive instructions on a particular agenda item from a Holder (including, without limitation, any entity or entities acting on behalf of the nominee for DTC) in a timely manner, such Holder shall be deemed, and the Depositary is instructed to deem such Holder, to have instructed the Depositary to give a discretionary proxy for such agenda item(s) to a person designated by the Company to vote the Deposited Securities represented by the ADSs for which actual instructions were not so given by all such Holders on such agenda item(s), </w:t>
            </w:r>
            <w:r>
              <w:rPr>
                <w:i/>
              </w:rPr>
              <w:t>provided that</w:t>
            </w:r>
            <w:r>
              <w:rPr/>
              <w:t xml:space="preserve"> no such instruction shall be deemed given and no discretionary proxy shall be given unless (1) the Company informs the Depositary in writing that (a) it wishes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(iii)</w:t>
            </w:r>
          </w:p>
        </w:tc>
        <w:tc>
          <w:tcPr>
            <w:tcW w:w="9890" w:type="dxa"/>
            <w:tcBorders/>
            <w:vAlign w:val="center"/>
          </w:tcPr>
          <w:p>
            <w:pPr>
              <w:pStyle w:val="TableContents"/>
              <w:bidi w:val="0"/>
              <w:spacing w:before="0" w:after="283"/>
              <w:jc w:val="left"/>
              <w:rPr/>
            </w:pPr>
            <w:r>
              <w:rPr/>
              <w:t>The Depositary may from time to time access information available to it to consider whether any of the circumstances described in (1)(b) or (1)(c) of subsection (ii) above exist, or request additional information from the Company in respect thereto. By taking any such action, the Depositary shall not in any way be deemed or inferred to have been required, or have had any duty or responsibility (contractual or otherwise), to monitor or inquire whether any of the circumstances described in (1)(b) or (1)(c) of subsection (ii) above existed. In addition to the limitations provided for in paragraph (14) hereof, Holders and Beneficial Owners are advised and agree that (a) the Depositary will rely fully and exclusively on the Company to inform the Depositary of any of the circumstances set forth in (1) of subsection (ii) above, and (b) neither the Depositary, the Custodian nor any of their respective agents shall be obliged to inquire or investigate whether any of the circumstances described in (1)(b) or (1)(c) of subsection (ii) above exist and/or whether the Company complied with its obligation to timely inform the Depositary of such circumstances. Neither the Depositary, the Custodian nor any of their respective agents shall incur any liability to Holders or Beneficial Owners (i) as a result of the Company's failure to determine that any of the circumstances described in (1)(b) or (1)(c) of subsection (ii) above exist or its failure to timely notify the Depositary of any such circumstances or (ii) if any agenda item which is approved at a meeting has, or is claimed to have, a material or adverse effect on the rights of holders of Shares. Because there is no guarantee that Holders and Beneficial Owners will receive the notices described above with sufficient time to enable such Holders or Beneficial Owners to return any voting instructions to the Depositary in a timely manner, Holders and Beneficial Owners may be deemed to have instructed the Depositary to give a discretionary proxy to a person designated by the Company in such circumstances, and neither the Depositary, the Custodian nor any of their respective agents shall incur any liability to Holders or Beneficial Owners in such circumstances.</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A-16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 xml:space="preserve">Alternative Methods of Distributing Materials. </w:t>
      </w:r>
      <w:r>
        <w:rPr>
          <w:rFonts w:ascii="Times New Roman;Times;Serif" w:hAnsi="Times New Roman;Times;Serif"/>
          <w:b w:val="false"/>
          <w:i w:val="false"/>
          <w:caps w:val="false"/>
          <w:smallCaps w:val="false"/>
          <w:sz w:val="20"/>
        </w:rPr>
        <w:t>Notwithstanding anything contained in the Deposit Agreement or any ADR, the Depositary may, to the extent not prohibited by any law, rule or regulation or by the rules, regulations or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Manner of Voting</w:t>
      </w:r>
      <w:r>
        <w:rPr>
          <w:rFonts w:ascii="Times New Roman;Times;Serif" w:hAnsi="Times New Roman;Times;Serif"/>
          <w:b w:val="false"/>
          <w:i w:val="false"/>
          <w:caps w:val="false"/>
          <w:smallCaps w:val="false"/>
          <w:sz w:val="20"/>
        </w:rPr>
        <w:t>. The Depositary has been advised by the Company that under Cayman Islands law and the Memorandum and Articles of Association of the Company, each as in effect as of the date of the Deposit Agreement, voting at any meeting of shareholders of the Company is by show of hands unless a poll is (before or on the declaration of the results of the show of hands or on the withdrawal of any other demand for a poll) demanded.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A-17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i w:val="false"/>
          <w:caps w:val="false"/>
          <w:smallCaps w:val="false"/>
          <w:sz w:val="20"/>
        </w:rPr>
        <w:t>Changes Affecting Deposited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paragraphs (4) (</w:t>
      </w:r>
      <w:r>
        <w:rPr>
          <w:rFonts w:ascii="Times New Roman;Times;Serif" w:hAnsi="Times New Roman;Times;Serif"/>
          <w:b w:val="false"/>
          <w:i/>
          <w:caps w:val="false"/>
          <w:smallCaps w:val="false"/>
          <w:sz w:val="20"/>
        </w:rPr>
        <w:t>Certain Limitations to Registration, Transfer etc.</w:t>
      </w:r>
      <w:r>
        <w:rPr>
          <w:rFonts w:ascii="Times New Roman;Times;Serif" w:hAnsi="Times New Roman;Times;Serif"/>
          <w:b w:val="false"/>
          <w:i w:val="false"/>
          <w:caps w:val="false"/>
          <w:smallCaps w:val="false"/>
          <w:sz w:val="20"/>
        </w:rPr>
        <w:t>) and (5) (</w:t>
      </w:r>
      <w:r>
        <w:rPr>
          <w:rFonts w:ascii="Times New Roman;Times;Serif" w:hAnsi="Times New Roman;Times;Serif"/>
          <w:b w:val="false"/>
          <w:i/>
          <w:caps w:val="false"/>
          <w:smallCaps w:val="false"/>
          <w:sz w:val="20"/>
        </w:rPr>
        <w:t>Liability of Holder or Beneficial Owner for Taxes, Duties and Other Charges</w:t>
      </w:r>
      <w:r>
        <w:rPr>
          <w:rFonts w:ascii="Times New Roman;Times;Serif" w:hAnsi="Times New Roman;Times;Serif"/>
          <w:b w:val="false"/>
          <w:i w:val="false"/>
          <w:caps w:val="false"/>
          <w:smallCaps w:val="false"/>
          <w:sz w:val="20"/>
        </w:rPr>
        <w:t>), the Depositary may, in its discretion, and shall if reasonably requested by the Company, amend 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i w:val="false"/>
          <w:caps w:val="false"/>
          <w:smallCaps w:val="false"/>
          <w:sz w:val="20"/>
        </w:rPr>
        <w:t>Exoneration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Force Majeure, Limitations on Liability and Obligations</w:t>
      </w:r>
      <w:r>
        <w:rPr>
          <w:rFonts w:ascii="Times New Roman;Times;Serif" w:hAnsi="Times New Roman;Times;Serif"/>
          <w:b w:val="false"/>
          <w:i w:val="false"/>
          <w:caps w:val="false"/>
          <w:smallCaps w:val="false"/>
          <w:sz w:val="20"/>
        </w:rPr>
        <w:t>. The Depositary, the Company, and each of their respective directors, officers, employees, agents and affiliates and each of them shall:</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(i)</w:t>
            </w:r>
          </w:p>
        </w:tc>
        <w:tc>
          <w:tcPr>
            <w:tcW w:w="10009" w:type="dxa"/>
            <w:tcBorders/>
            <w:vAlign w:val="center"/>
          </w:tcPr>
          <w:p>
            <w:pPr>
              <w:pStyle w:val="TableContents"/>
              <w:bidi w:val="0"/>
              <w:spacing w:before="0" w:after="283"/>
              <w:jc w:val="left"/>
              <w:rPr/>
            </w:pPr>
            <w:r>
              <w:rPr/>
              <w:t>incur or assume no liability (including, without limitation, to Holders or Beneficial Owners) (A) if any present or future law, rule, regulation, fiat, order or decree of the Cayman Islands, Hong Kong, the People’s Republic of China, the United States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epidemic, pandemic, nationalization, expropriation, currency restrictions, extraordinary market conditions, work stoppage, strike, civil unrest, revolutions, rebellions, explosions, cyber, ransomware or malware attack,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 any distribution or action may be lawful or reasonably practicable);</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6" w:type="dxa"/>
            <w:tcBorders/>
            <w:vAlign w:val="center"/>
          </w:tcPr>
          <w:p>
            <w:pPr>
              <w:pStyle w:val="TableContents"/>
              <w:bidi w:val="0"/>
              <w:spacing w:before="0" w:after="283"/>
              <w:jc w:val="left"/>
              <w:rPr/>
            </w:pPr>
            <w:r>
              <w:rPr/>
              <w:t>in the case of the Depositary and its agents, incur or assume no liability (including, without limitation, to Holders or Beneficial Owners) except to perform its obligations to the extent they are specifically set forth in this ADR and the Deposit Agreement without gross negligence or willful misconduct and the Depositary shall not be a fiduciary or have any fiduciary duty to Holders or Beneficial Owners;</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2"/>
        <w:gridCol w:w="9856"/>
      </w:tblGrid>
      <w:tr>
        <w:trPr/>
        <w:tc>
          <w:tcPr>
            <w:tcW w:w="3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left"/>
              <w:rPr/>
            </w:pPr>
            <w:r>
              <w:rPr/>
              <w:t>in the case of the Depositary and its agents, be under no obligation to appear in, prosecute or defend any action, suit or other proceeding in respect of any Deposited Securities, the ADSs or this ADR;</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1"/>
        <w:gridCol w:w="9877"/>
      </w:tblGrid>
      <w:tr>
        <w:trPr/>
        <w:tc>
          <w:tcPr>
            <w:tcW w:w="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(iv)</w:t>
            </w:r>
          </w:p>
        </w:tc>
        <w:tc>
          <w:tcPr>
            <w:tcW w:w="9877" w:type="dxa"/>
            <w:tcBorders/>
            <w:vAlign w:val="center"/>
          </w:tcPr>
          <w:p>
            <w:pPr>
              <w:pStyle w:val="TableContents"/>
              <w:bidi w:val="0"/>
              <w:spacing w:before="0" w:after="283"/>
              <w:jc w:val="left"/>
              <w:rPr/>
            </w:pPr>
            <w:r>
              <w:rPr/>
              <w:t>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and</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center"/>
        <w:rPr>
          <w:bdr w:val="single" w:sz="8" w:space="1" w:color="000000"/>
        </w:rPr>
      </w:pPr>
      <w:r>
        <w:rPr>
          <w:bdr w:val="single" w:sz="8" w:space="1" w:color="000000"/>
        </w:rPr>
        <w:t>A-19 </w:t>
      </w:r>
    </w:p>
    <w:p>
      <w:pPr>
        <w:pStyle w:val="TextBody"/>
        <w:bidi w:val="0"/>
        <w:spacing w:before="0" w:after="0"/>
        <w:jc w:val="center"/>
        <w:rPr/>
      </w:pPr>
      <w:r>
        <w:rPr/>
        <w:t> </w:t>
      </w:r>
    </w:p>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(v)</w:t>
            </w:r>
          </w:p>
        </w:tc>
        <w:tc>
          <w:tcPr>
            <w:tcW w:w="9940" w:type="dxa"/>
            <w:tcBorders/>
            <w:vAlign w:val="center"/>
          </w:tcPr>
          <w:p>
            <w:pPr>
              <w:pStyle w:val="TableContents"/>
              <w:bidi w:val="0"/>
              <w:spacing w:before="0" w:after="283"/>
              <w:jc w:val="left"/>
              <w:rPr/>
            </w:pPr>
            <w:r>
              <w:rPr/>
              <w:t>not be liable (including, without limitation, to Holders or Beneficial Owners) for any action or inaction by it in reliance upon the advice of or information from any legal counsel, any accountant, any person presenting Shares for deposit, any Holder, or any other person believed by it to be competent to give such advice or information and/or, in the case of the Depositary, the Company, provided that the foregoing shall not apply to the Company’s indemnification obligations under Section 15 of the Deposit Agreement.</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Insolvency, Liability, etc., of Custodian, Securities Depository, Clearing Agency or Settlement System</w:t>
      </w:r>
      <w:r>
        <w:rPr>
          <w:rFonts w:ascii="Times New Roman;Times;Serif" w:hAnsi="Times New Roman;Times;Serif"/>
          <w:b w:val="false"/>
          <w:i w:val="false"/>
          <w:caps w:val="false"/>
          <w:smallCaps w:val="false"/>
          <w:sz w:val="20"/>
        </w:rPr>
        <w:t>. The Depositary shall not be responsible for, and shall incur no liability in connection with or arising from, the insolvency of any Custodian that is not a branch or affiliate of JPMorgan Chase Bank, N.A. Notwithstanding anything to the contrary contained in the Deposit Agreement (including the ADRs) and, subject to the further limitations set forth in clause (q)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the acts or omissions made by, or the insolvency of, any securities depository, clearing agency or settlement system.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Depositary, its agents and the Company may rely and shall be protected in acting upon any written notice, request, direction, instruction or document believed by them to be genuine and to have been signed, presented or given by the proper party or parties.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Depositary shall be under no obligation to inform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Depositary and its agents will not be responsible for any failure to carry out any instructions to vote any of the Deposited Securities, for the manner in which any voting instructions are given or deemed to be given in accordance with paragraph 12(b) hereof, including instructions to give a discretionary proxy to a person designated by the Company, for the manner in which any vote is cast, including, without limitation, any vote cast by a person to whom the Depositary is instructed or deemed to have been instructed to grant a discretionary proxy pursuant to paragraph (12)(b) hereof, or for the effect of any such vote.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A-20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Depositary shall endeavor to effect any sale of securities or other property and any conversion of currency, securities or other property, in each case as is referred to or contemplated in the Deposit Agreement or the form of ADR, in accordance with the Depositary's normal practices and procedures under the circumstances applicable to such sale or conversion, but shall have no liability (in the absence of its own willful default or gross negligence or that of its agents, officers, directors or employees) with respect to the terms of any such sale or conversion, including the price at which such sale or conversion is effected, or if such sale or conversion shall not be practicable, or shall not be believed, deemed or determined to be practicable by the Depositary. Specifically, the Depositary shall not have any liability for the price received in connection with any public or private sale of securities (including, without limitation, for any sale made at a nominal price), the timing thereof or any delay in action or omission to act nor shall it be responsible for any error or delay in action, omission to act, default or negligence on the part of the party so retained in connection with any such sale or proposed sale.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Depositary shall not incur any liability in connection with or arising from any failure, inability or refusal by the Company or any other party (including any share registrar, transfer agent or other agent appointed by the Company or the Depositary or any other party) to process any transfer, delivery or distribution of cash, Shares, other securities or other property, including without limitation upon the termination of the Deposit Agreement, or otherwise to comply with any provisions of the Deposit Agreement that are applicable to it.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Depositary may rely upon instructions from the Company or its counsel in respect of any approval or license required for any currency conversion, transfer or distribution.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Depositary and its agents may own and deal in any class of securities of the Company and its affiliates and in ADRs.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None of the Depositary, the Custodian or the Company, or any of their respective directors, officers, employees, agents or affiliates shall be liable for the failure by any Holder or Beneficial Owner to obtain the benefits of credits or refunds of non-U.S. tax paid against such Holder's or Beneficial Owner's income tax liability.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Depositary is under no obligation to provide the Holders and Beneficial Owners, or any of them, with any information about the tax status of the Company. None of the Depositary, the Custodian or the Company, or any of their respective directors, officers, employees, agents and affiliates, shall incur any liability for any tax or tax consequences that may be incurred by Holders or Beneficial Owners on account of their ownership or disposition of the ADRs or ADSs.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A-21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Notwithstanding anything herein or in the Deposit Agreement to the contrary, the Depositary and the Custodian(s) may use third-party delivery services and providers of information regarding matters such as, but not limited to, pricing, proxy voting, corporate actions, class action litigation and other services in connection herewith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third-party providers and local agents, they will not be responsible for any errors or omissions made by them in providing the relevant information or services.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Depositary shall not be liable for any acts or omissions made by a successor depositary whether in connection with a previous act or omission of the Depositary or in connection with any matter arising wholly after the removal or resignation of the Depositary.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has agreed to indemnify the Depositary and its agents under certain circumstances and the Depositary has agreed to indemnify the Company under certain circumstances.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Notwithstanding any other provision of the Deposit Agreement or this ADR to the contrary, neither the Depositary nor the Company, nor any of their respective agents shall be liable to the other for any indirect Special Damages in any form incurred by any of them, or liable to any other person or entity (including, without limitation, Holders and Beneficial Owners) for any Special Damages, or any fees or expenses of counsel in connection therewith, whether or not foreseeable and regardless of the type of action in which such a claim may be brought; provided, however, that (i) notwithstanding the foregoing and, for the avoidance of doubt, the Depositary and its agents shall be entitled to legal fees and expenses in defending against any claim for Special Damages and (ii) to the extent Special Damages arise from or out of a claim brought by a third party (including, without limitation, Holders and Beneficial Owners) against the Depositary or any of its agents, the Depositary and its agents shall be entitled to full indemnification from the Company for all such Special Damages, and reasonable fees and expenses of counsel in connection therewith, unless such Special Damages are found to have been a direct result of the gross negligence or willful misconduct of the Depositary.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bdr w:val="single" w:sz="8" w:space="1" w:color="000000"/>
        </w:rPr>
      </w:pPr>
      <w:r>
        <w:rPr>
          <w:bdr w:val="single" w:sz="8" w:space="1" w:color="000000"/>
        </w:rPr>
        <w:t>A-22 </w:t>
      </w:r>
    </w:p>
    <w:p>
      <w:pPr>
        <w:pStyle w:val="TextBody"/>
        <w:bidi w:val="0"/>
        <w:spacing w:before="0" w:after="0"/>
        <w:jc w:val="center"/>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 provision of the Deposit Agreement or this ADR is intended to constitute a waiver or limitation of any rights which Holders or Beneficial Owners may have under the Securities Act of 1933 or the Securities Exchange Act of 1934, to the extent applicable.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i w:val="false"/>
          <w:caps w:val="false"/>
          <w:smallCaps w:val="false"/>
          <w:sz w:val="20"/>
        </w:rPr>
        <w:t>Resignation and Removal of Depositary; the Custodian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Resignation</w:t>
      </w:r>
      <w:r>
        <w:rPr>
          <w:rFonts w:ascii="Times New Roman;Times;Serif" w:hAnsi="Times New Roman;Times;Serif"/>
          <w:b w:val="false"/>
          <w:i w:val="false"/>
          <w:caps w:val="false"/>
          <w:smallCaps w:val="false"/>
          <w:sz w:val="20"/>
        </w:rPr>
        <w:t>. The Depositary may at any time resign as Depositary by providing written notice of its election to do so delivered to the Company. Subject to subparagraph (c) below, the Depositary's resignation shall take effect upon the Company's appointment of a successor depositary and such successor depositary's acceptance of its appointment as provided in the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Removal</w:t>
      </w:r>
      <w:r>
        <w:rPr>
          <w:rFonts w:ascii="Times New Roman;Times;Serif" w:hAnsi="Times New Roman;Times;Serif"/>
          <w:b w:val="false"/>
          <w:i w:val="false"/>
          <w:caps w:val="false"/>
          <w:smallCaps w:val="false"/>
          <w:sz w:val="20"/>
        </w:rPr>
        <w:t>. The Depositary may at any time be removed by the Company by providing no less than sixty (60) days' prior written notice of such removal to the Depositary. Subject to subparagraph (c) below, such removal shall take effect on the later of (i) the sixtieth (60th) day after the Removal Notice Date and (ii) the Company's appointment of a successor depositary and such successor depositary's acceptance of its appointment as provided in the Deposit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either the Depositary provides notice of its resignation (pursuant to subparagraph (a) above) or the Company provides notice of the Depositary's removal (pursuant to subparagraph (b) above), and a successor depositary is not appointed by the sixtieth (60th) day after the Resignation Notice Date or the Removal Notice Date, respectively, the Depositary may terminate the Deposit Agreement and the ADR in the manner set out in paragraph (17)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of this ADR and the provisions of said paragraph (17) shall thereafter govern the Depositary's obligations under the Deposit Agreement and the form of ADR.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The Custodian</w:t>
      </w:r>
      <w:r>
        <w:rPr>
          <w:rFonts w:ascii="Times New Roman;Times;Serif" w:hAnsi="Times New Roman;Times;Serif"/>
          <w:b w:val="false"/>
          <w:i w:val="false"/>
          <w:caps w:val="false"/>
          <w:smallCaps w:val="false"/>
          <w:sz w:val="20"/>
        </w:rPr>
        <w:t>. The Depositary may appoint substitute or additional Custodians and the term "</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refers to each Custodian or all Custodians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Subject to the last sentence of paragraph (2) (</w:t>
      </w:r>
      <w:r>
        <w:rPr>
          <w:rFonts w:ascii="Times New Roman;Times;Serif" w:hAnsi="Times New Roman;Times;Serif"/>
          <w:b w:val="false"/>
          <w:i/>
          <w:caps w:val="false"/>
          <w:smallCaps w:val="false"/>
          <w:sz w:val="20"/>
        </w:rPr>
        <w:t>Withdrawal of Deposited Securities</w:t>
      </w:r>
      <w:r>
        <w:rPr>
          <w:rFonts w:ascii="Times New Roman;Times;Serif" w:hAnsi="Times New Roman;Times;Serif"/>
          <w:b w:val="false"/>
          <w:i w:val="false"/>
          <w:caps w:val="false"/>
          <w:smallCaps w:val="false"/>
          <w:sz w:val="20"/>
        </w:rPr>
        <w:t xml:space="preserve">), the ADRs and the Deposit Agreement may be amended by the Company and the Depositary,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amendment that imposes or increases any fees on a per ADS basis, charges or expenses (other than stock transfer or other taxes and other governmental charges, transfer or registration fees, the transaction fee per cancellation request (including any cancellation request made through SWIFT, facsimile transmission or any other method of communication) described in paragraph (7)(c)(ii) (</w:t>
      </w:r>
      <w:r>
        <w:rPr>
          <w:rFonts w:ascii="Times New Roman;Times;Serif" w:hAnsi="Times New Roman;Times;Serif"/>
          <w:b w:val="false"/>
          <w:i/>
          <w:caps w:val="false"/>
          <w:smallCaps w:val="false"/>
          <w:sz w:val="20"/>
        </w:rPr>
        <w:t>Charges of Depositary</w:t>
      </w:r>
      <w:r>
        <w:rPr>
          <w:rFonts w:ascii="Times New Roman;Times;Serif" w:hAnsi="Times New Roman;Times;Serif"/>
          <w:b w:val="false"/>
          <w:i w:val="false"/>
          <w:caps w:val="false"/>
          <w:smallCaps w:val="false"/>
          <w:sz w:val="20"/>
        </w:rPr>
        <w:t>) of the form of ADR, applicable delivery expenses or other such fees, charges or expenses), or that shall otherwise prejudice any substantial existing right of Holders or Beneficial Owners, shall become effective thirty (30) days after notice of such amendment shall have been given to the Holders. Every Holder and Beneficial Owner at the time any amendment to the Deposit Agreement so becomes effective shall be deemed, by continuing to hold such ADR or interest therein,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amendments or supplements that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or Beneficial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amendment to the Deposit Agreement or the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upon retrieval from the Commission's, the Depositary's or the Company's website or upon request from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Termination by the Depositary and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left"/>
              <w:rPr/>
            </w:pPr>
            <w:r>
              <w:rPr/>
              <w:t>The Depositary shall, at any time at the written direction of the Company, terminate the Deposit Agreement by mailing notice of such termination to the Holders at least thirty (30) days prior to the Termination Date.</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(ii)</w:t>
            </w:r>
          </w:p>
        </w:tc>
        <w:tc>
          <w:tcPr>
            <w:tcW w:w="9948" w:type="dxa"/>
            <w:tcBorders/>
            <w:vAlign w:val="center"/>
          </w:tcPr>
          <w:p>
            <w:pPr>
              <w:pStyle w:val="TableContents"/>
              <w:bidi w:val="0"/>
              <w:spacing w:before="0" w:after="283"/>
              <w:jc w:val="left"/>
              <w:rPr/>
            </w:pPr>
            <w:r>
              <w:rPr/>
              <w:t xml:space="preserve">The Depositary may also terminate the Deposit Agreement by mailing notice of such termination to the Holders at least thirty (30) days prior to the Termination Date </w:t>
            </w:r>
            <w:r>
              <w:rPr>
                <w:u w:val="single"/>
              </w:rPr>
              <w:t>if</w:t>
            </w:r>
            <w:r>
              <w:rPr/>
              <w:t xml:space="preserve"> (A) sixty (60) days shall have expired after the Resignation Notice Date and a successor Depositary shall not be operating under the Deposit Agreement, (B) sixty (60) days shall have expired after the Removal Notice Date and a successor Depositary shall not be operating under the Deposit Agreement, (C) the Company is bankrupt, in liquidation proceedings or insolvent, (D) the ADRs are delisted from a "national securities exchange" (that has registered with the Commission under Section 6 of the Securities Exchange Act of 1934), (E) the Company effects (or will effect) a redemption of all or substantially all of the Deposited Securities, or a cash or share distribution representing a return of all or substantially all of the value of the Deposited Securities, (F) there are no Deposited Securities with respect to ADSs remaining, including if the Deposited Securities are cancelled, or the Deposited Securities have been deemed to have no value, or (G) there occurs a merger, consolidation, sale of assets or other transaction as a result of which securities or other property are delivered in exchange for or in lieu of Deposited Securities.</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center"/>
        <w:rPr>
          <w:bdr w:val="single" w:sz="8" w:space="1" w:color="000000"/>
        </w:rPr>
      </w:pPr>
      <w:r>
        <w:rPr>
          <w:bdr w:val="single" w:sz="8" w:space="1" w:color="000000"/>
        </w:rPr>
        <w:t>A-24 </w:t>
      </w:r>
    </w:p>
    <w:p>
      <w:pPr>
        <w:pStyle w:val="TextBody"/>
        <w:bidi w:val="0"/>
        <w:spacing w:before="0" w:after="0"/>
        <w:jc w:val="center"/>
        <w:rPr/>
      </w:pPr>
      <w:r>
        <w:rPr/>
        <w:t> </w:t>
      </w:r>
    </w:p>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80" w:type="dxa"/>
            <w:tcBorders/>
            <w:vAlign w:val="center"/>
          </w:tcPr>
          <w:p>
            <w:pPr>
              <w:pStyle w:val="TableContents"/>
              <w:bidi w:val="0"/>
              <w:spacing w:before="0" w:after="283"/>
              <w:jc w:val="left"/>
              <w:rPr/>
            </w:pPr>
            <w:r>
              <w:rPr/>
              <w:t>Additionally, the Depositary may immediately terminate the Deposit Agreement, without prior notice to the Company, any Holder or Beneficial Owner or any other person if (A) required by any law, rule or regulation relating to sanctions by any governmental authority or body, (B) the Depositary would be subject to liability under or pursuant to any law, rule or regulation, or (C) required by any governmental authority or body, in each case as determined by the Depositary in its reasonable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Depositary's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left"/>
              <w:rPr/>
            </w:pPr>
            <w:r>
              <w:rPr/>
              <w:t>After the Termination Date, the Depositary and its agents will perform no further acts under the Deposit Agreement and this ADR, except to receive and hold (or sell) distributions on Deposited Securities, deliver Deposited Securities being withdrawn and to take such actions as provided in the next two paragraphs, in each case subject to payment to the Depositary of the applicable fees and expenses provided in paragraph (7) of this form of ADR (</w:t>
            </w:r>
            <w:r>
              <w:rPr>
                <w:i/>
              </w:rPr>
              <w:t>Charges of Depositary</w:t>
            </w:r>
            <w:r>
              <w:rPr/>
              <w:t>).</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(ii)</w:t>
            </w:r>
          </w:p>
        </w:tc>
        <w:tc>
          <w:tcPr>
            <w:tcW w:w="9947" w:type="dxa"/>
            <w:tcBorders/>
            <w:vAlign w:val="center"/>
          </w:tcPr>
          <w:p>
            <w:pPr>
              <w:pStyle w:val="TableContents"/>
              <w:bidi w:val="0"/>
              <w:spacing w:before="0" w:after="283"/>
              <w:jc w:val="left"/>
              <w:rPr/>
            </w:pPr>
            <w:r>
              <w:rPr/>
              <w:t xml:space="preserve">After the Termination Date, if the Deposited Securities are listed and publicly traded on a securities exchange and the Depositary believes that it is able, permissible and practicable to sell the Deposited Securities without undue effort, then,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w:t>
            </w:r>
            <w:r>
              <w:rPr>
                <w:u w:val="single"/>
              </w:rPr>
              <w:t>pro rata</w:t>
            </w:r>
            <w:r>
              <w:rPr/>
              <w:t xml:space="preserve"> benefit of the Holders entitled thereto. If the Depositary sells the Deposited Securities, the Depositary shall be discharged from all, and cease to have any, obligations under the Deposit Agreement and the ADRs after making such sale, except to account for such net proceeds and other cash.</w:t>
            </w:r>
          </w:p>
        </w:tc>
      </w:tr>
    </w:tbl>
    <w:p>
      <w:pPr>
        <w:pStyle w:val="TextBody"/>
        <w:bidi w:val="0"/>
        <w:spacing w:before="0" w:after="0"/>
        <w:ind w:left="2160" w:right="0" w:hanging="720"/>
        <w:jc w:val="left"/>
        <w:rPr>
          <w:caps w:val="false"/>
          <w:smallCaps w:val="false"/>
        </w:rPr>
      </w:pPr>
      <w:r>
        <w:rPr>
          <w:caps w:val="false"/>
          <w:smallCaps w:val="false"/>
        </w:rPr>
        <w:t> </w:t>
      </w:r>
    </w:p>
    <w:p>
      <w:pPr>
        <w:pStyle w:val="TextBody"/>
        <w:bidi w:val="0"/>
        <w:spacing w:before="0" w:after="0"/>
        <w:ind w:left="2160" w:right="0" w:hanging="720"/>
        <w:jc w:val="center"/>
        <w:rPr>
          <w:bdr w:val="single" w:sz="8" w:space="1" w:color="000000"/>
        </w:rPr>
      </w:pPr>
      <w:r>
        <w:rPr>
          <w:bdr w:val="single" w:sz="8" w:space="1" w:color="000000"/>
        </w:rPr>
        <w:t>A-25 </w:t>
      </w:r>
    </w:p>
    <w:p>
      <w:pPr>
        <w:pStyle w:val="TextBody"/>
        <w:bidi w:val="0"/>
        <w:spacing w:before="0" w:after="0"/>
        <w:jc w:val="center"/>
        <w:rPr/>
      </w:pPr>
      <w:r>
        <w:rPr/>
        <w:t> </w:t>
      </w:r>
    </w:p>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(iii)</w:t>
            </w:r>
          </w:p>
        </w:tc>
        <w:tc>
          <w:tcPr>
            <w:tcW w:w="9882" w:type="dxa"/>
            <w:tcBorders/>
            <w:vAlign w:val="center"/>
          </w:tcPr>
          <w:p>
            <w:pPr>
              <w:pStyle w:val="TableContents"/>
              <w:bidi w:val="0"/>
              <w:spacing w:before="0" w:after="283"/>
              <w:jc w:val="left"/>
              <w:rPr/>
            </w:pPr>
            <w:r>
              <w:rPr/>
              <w:t>However, if the Deposited Securities are not listed and publicly traded on a securities exchange after the Termination Date, or if, for any reason, the Depositary does not sell the Deposited Securities, the Depositary shall use its reasonable efforts to ensure that the ADSs cease to be DTC eligible and that neither DTC nor any of its nominees shall thereafter be a Holder. At such time as the ADSs cease to be DTC eligible and/or neither DTC nor any of its nominees is a Holder, to the extent the Company is not, to the Depositary's knowledge, insolvent or in bankruptcy or liquidation, the Depositary shall:</w:t>
            </w:r>
          </w:p>
        </w:tc>
      </w:tr>
    </w:tbl>
    <w:p>
      <w:pPr>
        <w:pStyle w:val="TextBody"/>
        <w:bidi w:val="0"/>
        <w:spacing w:before="0" w:after="0"/>
        <w:ind w:left="216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81"/>
        <w:gridCol w:w="9850"/>
      </w:tblGrid>
      <w:tr>
        <w:trPr/>
        <w:tc>
          <w:tcPr>
            <w:tcW w:w="7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(A)</w:t>
            </w:r>
          </w:p>
        </w:tc>
        <w:tc>
          <w:tcPr>
            <w:tcW w:w="9850" w:type="dxa"/>
            <w:tcBorders/>
            <w:vAlign w:val="center"/>
          </w:tcPr>
          <w:p>
            <w:pPr>
              <w:pStyle w:val="TableContents"/>
              <w:bidi w:val="0"/>
              <w:spacing w:before="0" w:after="283"/>
              <w:jc w:val="left"/>
              <w:rPr/>
            </w:pPr>
            <w:r>
              <w:rPr/>
              <w:t>cancel this ADR and all other outstanding ADRs,</w:t>
            </w:r>
          </w:p>
        </w:tc>
      </w:tr>
      <w:tr>
        <w:trPr/>
        <w:tc>
          <w:tcPr>
            <w:tcW w:w="7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850"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(B)</w:t>
            </w:r>
          </w:p>
        </w:tc>
        <w:tc>
          <w:tcPr>
            <w:tcW w:w="9850" w:type="dxa"/>
            <w:tcBorders/>
            <w:vAlign w:val="center"/>
          </w:tcPr>
          <w:p>
            <w:pPr>
              <w:pStyle w:val="TableContents"/>
              <w:bidi w:val="0"/>
              <w:spacing w:before="0" w:after="283"/>
              <w:jc w:val="left"/>
              <w:rPr/>
            </w:pPr>
            <w:r>
              <w:rPr/>
              <w:t>request DTC to provide the Depositary with information on those holding ADSs through DTC and, upon receipt thereof, revise the ADR Register to reflect the information provided by DTC,</w:t>
            </w:r>
          </w:p>
        </w:tc>
      </w:tr>
      <w:tr>
        <w:trPr/>
        <w:tc>
          <w:tcPr>
            <w:tcW w:w="7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850" w:type="dxa"/>
            <w:tcBorders/>
            <w:vAlign w:val="center"/>
          </w:tcPr>
          <w:p>
            <w:pPr>
              <w:pStyle w:val="TableContents"/>
              <w:bidi w:val="0"/>
              <w:spacing w:before="0" w:after="283"/>
              <w:jc w:val="left"/>
              <w:rPr/>
            </w:pPr>
            <w:r>
              <w:rPr/>
              <w:t> </w:t>
            </w:r>
          </w:p>
        </w:tc>
      </w:tr>
      <w:tr>
        <w:trPr/>
        <w:tc>
          <w:tcPr>
            <w:tcW w:w="74"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(C)</w:t>
            </w:r>
          </w:p>
        </w:tc>
        <w:tc>
          <w:tcPr>
            <w:tcW w:w="9850" w:type="dxa"/>
            <w:tcBorders/>
            <w:vAlign w:val="center"/>
          </w:tcPr>
          <w:p>
            <w:pPr>
              <w:pStyle w:val="TableContents"/>
              <w:bidi w:val="0"/>
              <w:spacing w:before="0" w:after="283"/>
              <w:jc w:val="left"/>
              <w:rPr/>
            </w:pPr>
            <w:r>
              <w:rPr/>
              <w:t>instruct its Custodian to deliver all Deposited Securities to the Company, a subsidiary or affiliate or registered office provider of the Company (the subsidiary or affiliate or registered office provider being the "</w:t>
            </w:r>
            <w:r>
              <w:rPr>
                <w:b/>
              </w:rPr>
              <w:t>Company Representative</w:t>
            </w:r>
            <w:r>
              <w:rPr/>
              <w:t xml:space="preserve">") </w:t>
            </w:r>
            <w:r>
              <w:rPr>
                <w:u w:val="single"/>
              </w:rPr>
              <w:t>or</w:t>
            </w:r>
            <w:r>
              <w:rPr/>
              <w:t xml:space="preserve"> an independent trust company engaged by the Company (the "</w:t>
            </w:r>
            <w:r>
              <w:rPr>
                <w:b/>
              </w:rPr>
              <w:t>Trustee</w:t>
            </w:r>
            <w:r>
              <w:rPr/>
              <w:t xml:space="preserve">") to hold those Deposited Securities in trust for the beneficial owners of the ADRs </w:t>
            </w:r>
            <w:r>
              <w:rPr>
                <w:u w:val="single"/>
              </w:rPr>
              <w:t>if</w:t>
            </w:r>
            <w:r>
              <w:rPr/>
              <w:t xml:space="preserve"> the Company is not permitted to hold any of the Deposited Securities under applicable law and/or the Company has directed the Depositary to deliver such Deposited Securities to a Company Representative or Trustee along with a stock transfer form and/or such other instruments of transfer covering such Deposited Securities as are needed under applicable law, and set forth in or substantially in the form of Exhibit C (and any applicable share certificate or indemnity for lost share certificate), in either case referring to the names set forth on the ADR Register, and</w:t>
            </w:r>
          </w:p>
        </w:tc>
      </w:tr>
    </w:tbl>
    <w:p>
      <w:pPr>
        <w:pStyle w:val="TextBody"/>
        <w:bidi w:val="0"/>
        <w:spacing w:before="0" w:after="0"/>
        <w:ind w:left="288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(D)</w:t>
            </w:r>
          </w:p>
        </w:tc>
        <w:tc>
          <w:tcPr>
            <w:tcW w:w="9851" w:type="dxa"/>
            <w:tcBorders/>
            <w:vAlign w:val="center"/>
          </w:tcPr>
          <w:p>
            <w:pPr>
              <w:pStyle w:val="TableContents"/>
              <w:bidi w:val="0"/>
              <w:spacing w:before="0" w:after="283"/>
              <w:jc w:val="left"/>
              <w:rPr/>
            </w:pPr>
            <w:r>
              <w:rPr/>
              <w:t>provide the Company with a copy of the ADR Register (which copy may be sent by email or by any means permitted under the notice provisions of the Deposit Agreement).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A-26 </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any instrument of transfer covering such Deposited Securities, any applicable share certificate or indemnity for lost share certificate and the ADR Register, the Company shall: (I) approve the transfer of the Deposited Securities previously represented by their ADRs to the persons listed on the ADR Register (as applicable), (II) procure the relevant updates to the register of members of the Company to reflect the transfer of the Deposited Securities previously represented by their ADRs to the persons listed on the ADR Register (as applicable) and (III) provide the Depositary with a certified copy of the updated register of members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Depositary reasonably believes that the Company is insolvent, or if the Company is in receivership, has filed for bankruptcy and/or is otherwise in restructuring, administration or liquidation, and in any such case the Deposited Securities are not listed and publicly traded on a securities exchange after the Termination Date, or if, for any reason, the Depositary believes it is not able to or cannot practicably sell the Deposited Securities promptly and without undue effort, the Deposited Securities shall be deemed to have no value (and such Holders shall be deemed to have instructed the Depositary that the Deposited Securities have no value). The Depositary may, but shall not be obligated to, and the Holders irrevocably consent and agree that the Depositary may instruct its Custodian to deliver all Deposited Securities to the Company (acting, as applicable by its administrator, receiver, administrative receiver, liquidator, provisional liquidator, restructuring officer, interim restructuring officer, trustee, controller or other entity overseeing the bankruptcy, insolvency, administration, restructuring or liquidation process) and notify the Company that the Deposited Securities are surrendered for no consideration. The Company shall, subject to applicable law, promptly accept the surrender of the Deposited Securities for no consideration and deliver to the Depositary a written notice confirming (A) the acceptance of the surrender of the Deposited Securities for no consideration and (B) the cancellation of such Deposited Securities. Promptly after notifying the Company that the Deposited Securities are surrendered for no consideration and irrespective of whether the Company has complied with the immediately preceding sentence, the Depositary shall notify Holders that their ADSs have been cancelled with no consideration being payable to Holders.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Depositary's compliance with the provisions of this subparagraph (17)(b)(iii), the Depositary and its agents shall be discharged from all, and cease to have any, obligations under the Deposit Agreement and the ADRs.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Company's Obligations</w:t>
      </w:r>
      <w:r>
        <w:rPr>
          <w:rFonts w:ascii="Times New Roman;Times;Serif" w:hAnsi="Times New Roman;Times;Serif"/>
          <w:b w:val="false"/>
          <w:i w:val="false"/>
          <w:caps w:val="false"/>
          <w:smallCaps w:val="false"/>
          <w:sz w:val="20"/>
        </w:rPr>
        <w:t>. After the Termination Date, the Company shall be discharged from all obligations under the Deposit Agreement except for its obligations under this paragraph (17) and its obligations to the Depositary and its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Establishment of Unsponsored ADR Program</w:t>
      </w:r>
      <w:r>
        <w:rPr>
          <w:rFonts w:ascii="Times New Roman;Times;Serif" w:hAnsi="Times New Roman;Times;Serif"/>
          <w:b w:val="false"/>
          <w:i w:val="false"/>
          <w:caps w:val="false"/>
          <w:smallCaps w:val="false"/>
          <w:sz w:val="20"/>
        </w:rPr>
        <w:t>. Notwithstanding anything to the contrary, in connection with any termination pursuant to this paragraph (17), the Depositary may, in its sole discretion and without notice to the Company, establish an unsponsored American depositary share program (on such terms as the Depositary may determine) for the Shares and make available to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in paragraph (7) hereof and the fees, charges and expenses applicable to the unsponsored American depositary share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i w:val="false"/>
          <w:caps w:val="false"/>
          <w:smallCaps w:val="false"/>
          <w:sz w:val="20"/>
        </w:rPr>
        <w:t>Appointment; Acknowledgements and Agreements</w:t>
      </w:r>
      <w:r>
        <w:rPr>
          <w:rFonts w:ascii="Times New Roman;Times;Serif" w:hAnsi="Times New Roman;Times;Serif"/>
          <w:b w:val="false"/>
          <w:i w:val="false"/>
          <w:caps w:val="false"/>
          <w:smallCaps w:val="false"/>
          <w:sz w:val="20"/>
        </w:rPr>
        <w:t>. Each Holder and each Beneficial Owner, upon acceptance of any ADSs or ADRs (or any interest in any of them)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the Company, Holders, Beneficial Owners and/or their respective affiliates, (iii) the Depositary and its divisions, branches and affiliates may at any time have multiple banking relationships with the Company, Holders, Beneficial Owners and/or the affiliates of any of them, (iv) the Depositary and its divisions, branches and affiliates may, from time to time, be engaged in transactions in which parties adverse to the Company or the Holders or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 Holder shall be 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w:t>
      </w:r>
    </w:p>
    <w:p>
      <w:pPr>
        <w:pStyle w:val="TextBody"/>
        <w:bidi w:val="0"/>
        <w:spacing w:before="0" w:after="0"/>
        <w:ind w:left="2160" w:right="0" w:hanging="1440"/>
        <w:jc w:val="left"/>
        <w:rPr>
          <w:caps w:val="false"/>
          <w:smallCaps w:val="false"/>
        </w:rPr>
      </w:pPr>
      <w:r>
        <w:rPr>
          <w:caps w:val="false"/>
          <w:smallCaps w:val="false"/>
        </w:rPr>
        <w:t> </w:t>
      </w:r>
    </w:p>
    <w:p>
      <w:pPr>
        <w:pStyle w:val="TextBody"/>
        <w:bidi w:val="0"/>
        <w:spacing w:before="0" w:after="0"/>
        <w:ind w:left="2160" w:right="0" w:hanging="1440"/>
        <w:jc w:val="center"/>
        <w:rPr>
          <w:bdr w:val="single" w:sz="8" w:space="1" w:color="000000"/>
        </w:rPr>
      </w:pPr>
      <w:r>
        <w:rPr>
          <w:bdr w:val="single" w:sz="8" w:space="1" w:color="000000"/>
        </w:rPr>
        <w:t>A-28 </w:t>
      </w:r>
    </w:p>
    <w:p>
      <w:pPr>
        <w:pStyle w:val="TextBody"/>
        <w:bidi w:val="0"/>
        <w:spacing w:before="0" w:after="0"/>
        <w:jc w:val="center"/>
        <w:rPr/>
      </w:pPr>
      <w:r>
        <w:rPr/>
        <w:t> </w:t>
      </w:r>
    </w:p>
    <w:p>
      <w:pPr>
        <w:pStyle w:val="TextBody"/>
        <w:bidi w:val="0"/>
        <w:spacing w:before="0" w:after="0"/>
        <w:ind w:left="2160" w:right="0" w:hanging="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EACH PARTY TO THE DEPOSIT AGREEMENT (INCLUDING, FOR AVOIDANCE OF DOUBT, EACH 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BASED ON OR RELATING IN ANY WAY TO THE SHARES OR OTHER DEPOSITED SECURITIES, THE ADSs OR THE ADRs, THE DEPOSIT AGREEMENT OR ANY TRANSACTION CONTEMPLATED HEREIN OR THEREIN, OR THE BREACH HEREOF OR THEREOF (WHETHER BASED ON CONTRACT, TORT, COMMON LAW OR ANY OTHER THEORY), INCLUDING, WITHOUT LIMITATION, ANY SUIT, ACTION, CLAIM OR PROCEEDING UNDER THE UNITED STATES FEDERAL SECURITIES LAWS. No provision of the Deposit Agreement or this ADR is intended to constitute a waiver or limitation of any rights that a Holder or any Beneficial Owner may have under the Securities Act of 1933 or the Securities Exchange Act of 1934, to the extent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i w:val="false"/>
          <w:caps w:val="false"/>
          <w:smallCaps w:val="false"/>
          <w:sz w:val="20"/>
        </w:rPr>
        <w:t xml:space="preserve">Jurisdiction. </w:t>
      </w:r>
      <w:r>
        <w:rPr>
          <w:rFonts w:ascii="Times New Roman;Times;Serif" w:hAnsi="Times New Roman;Times;Serif"/>
          <w:b w:val="false"/>
          <w:i w:val="false"/>
          <w:caps w:val="false"/>
          <w:smallCaps w:val="false"/>
          <w:sz w:val="20"/>
        </w:rPr>
        <w:t>By holding or owning an ADR or ADS or an interest therein, Holders and Beneficial Owners each irrevocably agree that any legal suit, action or proceeding against or involving Holders or Beneficial Owners brought by the Company or the Depositary, arising out of or based upon the Deposit Agreement, the ADSs, the ADRs or the transactions contemplated therein, herein, thereby or hereby, may be instituted in a federal or state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holding or owning an ADR or ADS or an interest therein, Holders and Beneficial Owners each also irrevocably agree that any legal suit, action or proceeding against or involving the Depositary and/or the Company brought by Holders or Beneficial Owners, arising out of or based upon the Deposit Agreement, the ADSs, the ADRs or the transactions contemplated therein, herein, thereby or hereby, including, without limitation, claims under the Securities Act of 1933, may be instituted only in the United States District Court for the Southern District of New York (or in the state courts of New York County in New York if either (i) the United States District Court for the Southern District of New York lacks subject matter jurisdiction over a particular dispute or (ii) the designation of the United States District Court for the Southern District of New York as the exclusive forum for any particular dispute is, or becomes, invalid, illegal or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or anything in the Deposit Agreement to the contrary, in the Deposit Agreement each of the parties thereto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Company, the Depositary and all Holders and Beneficial Owners) have agreed that: (i) the Depositary may, in its sole discretion, elect to institute any dispute, suit, action, controversy, claim or proceeding directly or indirectly based on, arising out of or relating to the Deposit Agreement, the ADSs, the ADRs or the transactions contemplated therein, herein, thereby or hereby, including without limitation any question regarding its or their existence, validity, interpretation, performance or termination (each, a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collectively, "</w:t>
      </w:r>
      <w:r>
        <w:rPr>
          <w:rFonts w:ascii="Times New Roman;Times;Serif" w:hAnsi="Times New Roman;Times;Serif"/>
          <w:b/>
          <w:i w:val="false"/>
          <w:caps w:val="false"/>
          <w:smallCaps w:val="false"/>
          <w:sz w:val="20"/>
        </w:rPr>
        <w:t>Disputes</w:t>
      </w:r>
      <w:r>
        <w:rPr>
          <w:rFonts w:ascii="Times New Roman;Times;Serif" w:hAnsi="Times New Roman;Times;Serif"/>
          <w:b w:val="false"/>
          <w:i w:val="false"/>
          <w:caps w:val="false"/>
          <w:smallCaps w:val="false"/>
          <w:sz w:val="20"/>
        </w:rPr>
        <w:t>") against any other party or parties (including, without limitation, Disputes brought against Holders and Beneficial Owners), by having the Dispute referred to and finally resolved by an arbitration conducted under the terms set out below, and (ii) the Depositary may in its sole discretion require, by written notice to the relevant party or parties, that any Dispute brought by any party or parties to the Deposit Agreement (including, without limitation, Disputes brought by Holders and Beneficial Owners) against the Depositary be referred to and finally settled by an arbitration conducted under the terms set out in the Deposit Agreement; provided however, notwithstanding the Depositary's written notice under this clause (ii), to the extent there are specific federal securities law violation aspects to any claims against the Company and/or the Depositary brought by any Holder or Beneficial Owner, the federal securities law violation aspects of such claims brought by a Holder or Beneficial Owner against the Company and/or the Depositary may, at the option of such Holder or Beneficial Owner, remain in state or federal court in New York, New York and all other aspects, claims, Disputes, legal suits, actions and/or proceedings brought by such Holder or Beneficial Owner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in each case as amended by Section 20(d) of the Deposit Agreement, and the language of any such arbitration shall be English, in each case as provided in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or in the Deposit Agreement to the contrary, and for the avoidance of doubt, the Company and all Holders and Beneficial Owners from time to time of ADRs issued hereunder (and any persons owning or holding interests in ADSs) agree that any federal or state court in New York, New York, shall have jurisdiction to hear and determine proceedings related to the enforcement of this arbitration provision and any arbitration award by the arbitrators contemplated and, for such purposes, irrevocably submits to the non-exclusive jurisdiction of such courts. Each of the parties hereto and to the Deposit Agreement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Company, the Depositary and all Holders and Beneficial Owners) agrees not to challenge the terms and enforceability of the arbitration clause contained herein and in the Deposit Agreement, including, but not limited to, any challenge based on lack of mutuality, and each such party hereby irrevocably waives any such challenge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A-30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rPr>
        <w:t>Elective Distributions in Cash or Shares</w:t>
      </w:r>
      <w:r>
        <w:rPr>
          <w:rFonts w:ascii="Times New Roman;Times;Serif" w:hAnsi="Times New Roman;Times;Serif"/>
          <w:b w:val="false"/>
          <w:i w:val="false"/>
          <w:caps w:val="false"/>
          <w:smallCaps w:val="false"/>
          <w:sz w:val="20"/>
        </w:rPr>
        <w:t>. Whenever the Company intends to distribute a dividend payable at the election of the holders of Shares in cash or in additional Shares, the Company shall give notice thereof to the Depositary at least thirty (30) days prior to the proposed distribution stating whether or not it wishes such elective distribution to be made available to Holders. Upon receipt of notice indicating that the Company wishes such elective distribution to be made available to Holders, the Depositary shall consult with the Company to determine, and the Company shall assist the Depositary in its determination, whether it is lawful and reasonably practicable to make such elective distribution available to the Holders. The Depositary shall make such elective distribution available to Holders only if (i) the Company shall have timely requested that the elective distribution is available to Holders, (ii) the Depositary shall have determined that such distribution is reasonably practicable and (iii) the Depositary shall have received satisfactory documentation within the terms of Section 14 of the Deposit Agreement including, without limitation, any legal opinions of counsel in any applicable jurisdiction that the Depositary in its reasonable discretion may request, at the expense of the Company. If the above conditions are not satisfied, the Depositary shall, to the extent permitted by law, distribute to the Holders, on the basis of the same determination as is made in the local market in respect of the Shares for which no election is made, either (x) cash or (y) additional ADSs representing such additional Shares. If the above conditions are satisfied, the Depositary shall establish a record date and establish procedures to enable Holders to elect the receipt of the proposed dividend in cash or in additional ADSs. The Company shall assist the Depositary in establishing such procedures to the extent necessary. Nothing herein shall obligate the Depositary to make available to Holders a method to receive the elective dividend in Shares (rather than ADSs). There can be no assurance that Holders or Beneficial Owners generally, or any Holder and/or Beneficial Owner in particular, will be given the opportunity to receive elective distributions on the same terms and conditions as the holders of Shares.</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A-31</w:t>
      </w:r>
    </w:p>
    <w:p>
      <w:pPr>
        <w:pStyle w:val="TextBody"/>
        <w:bidi w:val="0"/>
        <w:spacing w:before="0" w:after="0"/>
        <w:ind w:left="0" w:right="0" w:hanging="0"/>
        <w:jc w:val="left"/>
        <w:rPr/>
      </w:pPr>
      <w:bookmarkStart w:id="4" w:name="e665427_ex99-d.htm"/>
      <w:bookmarkStart w:id="5" w:name="kse665427_ex99d"/>
      <w:bookmarkEnd w:id="4"/>
      <w:bookmarkEnd w:id="5"/>
      <w:r>
        <w:rPr/>
        <w:t> </w:t>
      </w:r>
      <w:r>
        <w:br w:type="page"/>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Ziegler, Ziegler &amp; Associates LLP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Counselors at Law</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570 Lexington Avenue, Suite 2405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New York, New York 10022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(212) 319-7600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
        <w:t>Telecopier (212) 319-7605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April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as Depositary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 Floor 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American Depositary Shares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evidenced by American Depositary Receipts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for deposited Class A ordinary shares of</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Yimutian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JPMorgan Chase Bank, N.A., as depositary (the “Depositary”), in connection with the Registration Statement on Form F-6 (the “Registration Statement”) to be filed on the date hereof with the Securities and Exchange Commission (the “Commission”) pursuant to the Securities Act of 1933, as amended (the “Securities Act of 1933”), by the Depositary, acting on behalf of the legal entity created by the Deposit Agreement (as defined below) and Yimutian Inc., a company incorporated under the laws of the Cayman Islands (the “Company”), relating to the registered number of American Depositary Shares (“ADSs”), to be evidenced by American Depositary Receipts (“ADRs”), each ADS currently representing, subject to the terms and conditions of the Deposit Agreement and the ADRs, the right to receive a specified number of Class A ordinary shares of the Company (the “Shares”). The ADSs will be issued pursuant to the terms and conditions of the Amended and Restated Deposit Agreement among the Company, the Depositary and all Holders and Beneficial Owners from time to time of ADRs issued thereunder (the “Deposit Agreement”). The Deposit Agreement is being incorporated by reference as exhibit (a) to the Registration Statement. Capitalized terms used herein that are not herein defined shall have the meanings assigned to them in the Deposit Agreement.</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originals or copies, certified or otherwise identified to our satisfaction, of such documents as we considered necessary or appropriate to enable us to render this opinion, including but not limited to the Registration Statement, the Deposit Agreement and the form of ADR included as Exhibit A to the Deposit Agreement, as well as such other corporate records, certificates and instruments as we have deemed necessary or appropriate for purposes of rendering the opinions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set forth herein, we have assumed (i) the Deposit Agreement, on signing, was duly authorized, executed and delivered by the Company and constitutes a valid and legally binding obligation of the Company enforceable against it in accordance with its terms, (ii) that at the time any ADSs are issued, (a) the Registration Statement will have been declared effective by the Commission and remain effective, and (b) the relevant Deposited Securities will have been duly authorized, legally and validly issued, will be fully paid and non-assessable, will have been duly deposited with a Custodian under and in accordance with all applicable laws and regulations, and will constitute "Shares" within the meaning of such term under the Deposit Agreement; (iii) that the choice of New York law contained in the Deposit Agreement is legal and valid under the laws of the Cayman Islands, (iv) that insofar as any obligation under the Deposit Agreement is to be performed in, or by a party organized under the laws of, any jurisdiction outside of the United States of America, its performance will not be illegal or ineffective in any jurisdiction by virtue of the law of that jurisdiction, (v) the genuineness and authenticity of all signatures, including electronic signatures, on original documents and the legal capacity, competency and authority of all such signatories; and (vi) that photocopy, electronic, conformed, facsimile and other copies submitted to us of original documents conform to the original documents, and that all such original documents were authentic and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the ADSs covered by the Registration Statement, when evidenced by ADRs that are duly executed and delivered by the Depositary (as defined in the Deposit Agreement) and issued in accordance with the terms of the Deposit Agreement, will be validly issued and will entitle the registered holders thereof to the rights specified in the Deposit Agreement and those ADRs.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 is limited to the internal laws of the State of New York and the federal laws of the United States of America, each as in effect on the date of this letter, and we are expressing no opinion as to the applicability of the laws of any other jurisdiction or the effect of any such laws on the foregoing opinion. Nothing contained herein or in any document referred to herein is intended by this firm to be used, and the addressees hereof cannot use anything contained herein or in any document referred to herein, as tax advice. This opinion letter deals only with the specified legal issues expressly addressed herein, and you should not infer any opinion that is not explicitly addressed herein from any matter stated in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to you as of the date hereof and we assume no obligation to advise you or any other person hereafter with regard to any change after the date hereof in the circumstances or the law that may bear on the matters set forth herein even though the change may affect the legal analysis or a legal conclusion or other matters in this opinion letter.</w:t>
      </w:r>
    </w:p>
    <w:p>
      <w:pPr>
        <w:pStyle w:val="TextBody"/>
        <w:bidi w:val="0"/>
        <w:spacing w:before="0" w:after="0"/>
        <w:ind w:left="0" w:right="0" w:firstLine="1296"/>
        <w:jc w:val="both"/>
        <w:rPr>
          <w:caps w:val="false"/>
          <w:smallCaps w:val="false"/>
        </w:rPr>
      </w:pPr>
      <w:r>
        <w:rPr>
          <w:caps w:val="false"/>
          <w:smallCaps w:val="false"/>
        </w:rPr>
        <w:t> </w:t>
      </w:r>
    </w:p>
    <w:p>
      <w:pPr>
        <w:pStyle w:val="TextBody"/>
        <w:bidi w:val="0"/>
        <w:spacing w:before="0" w:after="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as Exhibit d of the above-mentioned Registration Statement. In giving such consent, we do not admit thereby that we are within the category of persons whose consent is required under Section 7 of the Securities Act of 1933, as amended and the rules and regulations thereunder.</w:t>
      </w:r>
    </w:p>
    <w:p>
      <w:pPr>
        <w:pStyle w:val="TextBody"/>
        <w:bidi w:val="0"/>
        <w:spacing w:before="0" w:after="0"/>
        <w:ind w:left="0" w:right="0" w:firstLine="576"/>
        <w:jc w:val="both"/>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75"/>
        <w:gridCol w:w="3515"/>
      </w:tblGrid>
      <w:tr>
        <w:trPr/>
        <w:tc>
          <w:tcPr>
            <w:tcW w:w="7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both"/>
              <w:rPr/>
            </w:pPr>
            <w:r>
              <w:rPr/>
              <w:t> </w:t>
            </w:r>
          </w:p>
        </w:tc>
        <w:tc>
          <w:tcPr>
            <w:tcW w:w="35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/s/Ziegler, Ziegler &amp; Associates LLP</w:t>
            </w:r>
          </w:p>
        </w:tc>
      </w:tr>
    </w:tbl>
    <w:p>
      <w:pPr>
        <w:pStyle w:val="TextBody"/>
        <w:bidi w:val="0"/>
        <w:spacing w:before="0" w:after="283"/>
        <w:jc w:val="left"/>
        <w:rPr/>
      </w:pPr>
      <w:r>
        <w:rPr/>
        <w:t> </w:t>
      </w:r>
    </w:p>
    <w:p>
      <w:pPr>
        <w:pStyle w:val="TextBody"/>
        <w:pBdr>
          <w:bottom w:val="single" w:sz="8" w:space="1" w:color="000000"/>
        </w:pBdr>
        <w:bidi w:val="0"/>
        <w:jc w:val="center"/>
        <w:rPr/>
      </w:pPr>
      <w:r>
        <w:rPr/>
        <w:t> </w:t>
      </w:r>
    </w:p>
    <w:p>
      <w:pPr>
        <w:pStyle w:val="TextBody"/>
        <w:bidi w:val="0"/>
        <w:spacing w:before="0" w:after="0"/>
        <w:ind w:left="0" w:right="0" w:firstLine="48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ind w:left="0" w:right="0" w:firstLine="4896"/>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e665427_ex99-e.htm"/>
      <w:bookmarkStart w:id="7" w:name="kse665427_ex99e"/>
      <w:bookmarkEnd w:id="6"/>
      <w:bookmarkEnd w:id="7"/>
      <w:r>
        <w:rPr>
          <w:caps w:val="false"/>
          <w:smallCaps w:val="false"/>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Certification under Rule 466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JPMorgan Chase Bank, N.A. represents and certifies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previously had filed a registration statement on Form F-6 (Yimutian Inc. 333- 288880) that the Commission declared effective, with terms of deposit identical to the terms of deposit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its ability to designate the date and time of effectiveness under Rule 466 has not been suspended.</w:t>
      </w:r>
    </w:p>
    <w:p>
      <w:pPr>
        <w:pStyle w:val="TextBody"/>
        <w:bidi w:val="0"/>
        <w:spacing w:before="0" w:after="0"/>
        <w:jc w:val="center"/>
        <w:rPr>
          <w:caps w:val="false"/>
          <w:smallCaps w:val="false"/>
        </w:rPr>
      </w:pPr>
      <w:r>
        <w:rPr>
          <w:caps w:val="false"/>
          <w:smallCaps w:val="false"/>
        </w:rPr>
        <w:t> </w:t>
      </w:r>
    </w:p>
    <w:tbl>
      <w:tblPr>
        <w:tblW w:w="4039" w:type="dxa"/>
        <w:jc w:val="left"/>
        <w:tblInd w:w="0" w:type="dxa"/>
        <w:tblLayout w:type="fixed"/>
        <w:tblCellMar>
          <w:top w:w="0" w:type="dxa"/>
          <w:left w:w="0" w:type="dxa"/>
          <w:bottom w:w="0" w:type="dxa"/>
          <w:right w:w="0" w:type="dxa"/>
        </w:tblCellMar>
      </w:tblPr>
      <w:tblGrid>
        <w:gridCol w:w="75"/>
        <w:gridCol w:w="919"/>
        <w:gridCol w:w="3045"/>
      </w:tblGrid>
      <w:tr>
        <w:trPr/>
        <w:tc>
          <w:tcPr>
            <w:tcW w:w="75" w:type="dxa"/>
            <w:tcBorders/>
            <w:vAlign w:val="center"/>
          </w:tcPr>
          <w:p>
            <w:pPr>
              <w:pStyle w:val="TableContents"/>
              <w:bidi w:val="0"/>
              <w:spacing w:before="0" w:after="283"/>
              <w:jc w:val="both"/>
              <w:rPr/>
            </w:pPr>
            <w:r>
              <w:rPr/>
              <w:t> </w:t>
            </w:r>
          </w:p>
        </w:tc>
        <w:tc>
          <w:tcPr>
            <w:tcW w:w="396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JPMORGAN CHASE BANK, N.A., as Depositary</w:t>
            </w:r>
          </w:p>
        </w:tc>
      </w:tr>
      <w:tr>
        <w:trPr/>
        <w:tc>
          <w:tcPr>
            <w:tcW w:w="75" w:type="dxa"/>
            <w:tcBorders/>
            <w:vAlign w:val="center"/>
          </w:tcPr>
          <w:p>
            <w:pPr>
              <w:pStyle w:val="TableContents"/>
              <w:bidi w:val="0"/>
              <w:spacing w:before="0" w:after="283"/>
              <w:jc w:val="both"/>
              <w:rPr/>
            </w:pPr>
            <w:r>
              <w:rPr/>
              <w:t> </w:t>
            </w:r>
          </w:p>
        </w:tc>
        <w:tc>
          <w:tcPr>
            <w:tcW w:w="919" w:type="dxa"/>
            <w:tcBorders/>
            <w:vAlign w:val="center"/>
          </w:tcPr>
          <w:p>
            <w:pPr>
              <w:pStyle w:val="TableContents"/>
              <w:bidi w:val="0"/>
              <w:spacing w:before="0" w:after="283"/>
              <w:jc w:val="both"/>
              <w:rPr/>
            </w:pPr>
            <w:r>
              <w:rPr/>
              <w:t> </w:t>
            </w:r>
          </w:p>
        </w:tc>
        <w:tc>
          <w:tcPr>
            <w:tcW w:w="304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19" w:type="dxa"/>
            <w:tcBorders/>
            <w:vAlign w:val="center"/>
          </w:tcPr>
          <w:p>
            <w:pPr>
              <w:pStyle w:val="TableContents"/>
              <w:bidi w:val="0"/>
              <w:spacing w:before="0" w:after="283"/>
              <w:jc w:val="both"/>
              <w:rPr/>
            </w:pPr>
            <w:r>
              <w:rPr/>
              <w:t>By:</w:t>
            </w:r>
          </w:p>
        </w:tc>
        <w:tc>
          <w:tcPr>
            <w:tcW w:w="30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/s/Gregory A. Levendis </w:t>
            </w:r>
          </w:p>
        </w:tc>
      </w:tr>
      <w:tr>
        <w:trPr/>
        <w:tc>
          <w:tcPr>
            <w:tcW w:w="75" w:type="dxa"/>
            <w:tcBorders/>
            <w:vAlign w:val="center"/>
          </w:tcPr>
          <w:p>
            <w:pPr>
              <w:pStyle w:val="TableContents"/>
              <w:bidi w:val="0"/>
              <w:spacing w:before="0" w:after="283"/>
              <w:jc w:val="both"/>
              <w:rPr/>
            </w:pPr>
            <w:r>
              <w:rPr/>
              <w:t> </w:t>
            </w:r>
          </w:p>
        </w:tc>
        <w:tc>
          <w:tcPr>
            <w:tcW w:w="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Gregory A. Levendis</w:t>
            </w:r>
          </w:p>
        </w:tc>
      </w:tr>
      <w:tr>
        <w:trPr/>
        <w:tc>
          <w:tcPr>
            <w:tcW w:w="7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283"/>
        <w:jc w:val="left"/>
        <w:rPr/>
      </w:pPr>
      <w:r>
        <w:rPr/>
        <w:t> </w:t>
      </w:r>
    </w:p>
    <w:p>
      <w:pPr>
        <w:pStyle w:val="TextBody"/>
        <w:pBdr>
          <w:bottom w:val="single" w:sz="8" w:space="1" w:color="000000"/>
        </w:pBdr>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16873</Words>
  <Characters>89127</Characters>
  <CharactersWithSpaces>106162</CharactersWithSpaces>
  <Paragraphs>998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